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D5651D">
      <w:pPr>
        <w:jc w:val="center"/>
        <w:rPr>
          <w:rFonts w:asciiTheme="majorEastAsia" w:hAnsiTheme="majorEastAsia" w:eastAsiaTheme="majorEastAsia"/>
          <w:sz w:val="44"/>
          <w:szCs w:val="44"/>
        </w:rPr>
      </w:pPr>
      <w:r>
        <w:rPr>
          <w:rFonts w:hint="eastAsia"/>
          <w:sz w:val="44"/>
          <w:szCs w:val="44"/>
        </w:rPr>
        <w:t>现代中药制药与健康微专业</w:t>
      </w:r>
      <w:r>
        <w:rPr>
          <w:rFonts w:hint="eastAsia" w:asciiTheme="majorEastAsia" w:hAnsiTheme="majorEastAsia" w:eastAsiaTheme="majorEastAsia"/>
          <w:sz w:val="44"/>
          <w:szCs w:val="44"/>
        </w:rPr>
        <w:t>招生简章</w:t>
      </w:r>
    </w:p>
    <w:p w14:paraId="28850FFC">
      <w:pPr>
        <w:ind w:firstLine="640" w:firstLineChars="200"/>
        <w:rPr>
          <w:rFonts w:ascii="仿宋" w:hAnsi="仿宋" w:eastAsia="仿宋"/>
          <w:sz w:val="32"/>
          <w:szCs w:val="32"/>
        </w:rPr>
      </w:pPr>
      <w:r>
        <w:rPr>
          <w:rFonts w:hint="eastAsia" w:ascii="仿宋" w:hAnsi="仿宋" w:eastAsia="仿宋" w:cs="宋体"/>
          <w:sz w:val="32"/>
          <w:szCs w:val="32"/>
        </w:rPr>
        <w:t>一、现代中药制药与健康微专业</w:t>
      </w:r>
      <w:r>
        <w:rPr>
          <w:rFonts w:ascii="仿宋" w:hAnsi="仿宋" w:eastAsia="仿宋"/>
          <w:sz w:val="32"/>
          <w:szCs w:val="32"/>
        </w:rPr>
        <w:t>简介</w:t>
      </w:r>
    </w:p>
    <w:p w14:paraId="2CED0716">
      <w:pPr>
        <w:ind w:firstLine="640" w:firstLineChars="200"/>
        <w:rPr>
          <w:rFonts w:ascii="仿宋" w:hAnsi="仿宋" w:eastAsia="仿宋" w:cs="宋体"/>
          <w:sz w:val="32"/>
          <w:szCs w:val="32"/>
          <w:lang w:bidi="ar"/>
        </w:rPr>
      </w:pPr>
      <w:r>
        <w:rPr>
          <w:rFonts w:hint="eastAsia" w:ascii="仿宋" w:hAnsi="仿宋" w:eastAsia="仿宋" w:cs="宋体"/>
          <w:sz w:val="32"/>
          <w:szCs w:val="32"/>
        </w:rPr>
        <w:t>为提高学生知识结构复合性，满足新形势新发展下中药制药企业用人</w:t>
      </w:r>
      <w:r>
        <w:rPr>
          <w:rFonts w:hint="eastAsia" w:ascii="仿宋" w:hAnsi="仿宋" w:eastAsia="仿宋" w:cs="宋体"/>
          <w:sz w:val="32"/>
          <w:szCs w:val="32"/>
          <w:lang w:bidi="ar"/>
        </w:rPr>
        <w:t>迫切</w:t>
      </w:r>
      <w:r>
        <w:rPr>
          <w:rFonts w:hint="eastAsia" w:ascii="仿宋" w:hAnsi="仿宋" w:eastAsia="仿宋" w:cs="宋体"/>
          <w:sz w:val="32"/>
          <w:szCs w:val="32"/>
        </w:rPr>
        <w:t>需求，对接区域产业发展战略和大别山区对中医药健康产业应用型人才的需求，设立现代中药制药与健康微专业。微专业依托</w:t>
      </w:r>
      <w:r>
        <w:rPr>
          <w:rFonts w:hint="eastAsia" w:ascii="仿宋" w:hAnsi="仿宋" w:eastAsia="仿宋" w:cs="宋体"/>
          <w:sz w:val="32"/>
          <w:szCs w:val="32"/>
          <w:shd w:val="clear" w:color="auto" w:fill="FEFDFB"/>
        </w:rPr>
        <w:t>安徽省一流学科、安徽省高等学校高峰学科</w:t>
      </w:r>
      <w:r>
        <w:rPr>
          <w:rFonts w:hint="eastAsia" w:ascii="仿宋" w:hAnsi="仿宋" w:eastAsia="仿宋" w:cs="宋体"/>
          <w:sz w:val="32"/>
          <w:szCs w:val="32"/>
        </w:rPr>
        <w:t>“</w:t>
      </w:r>
      <w:r>
        <w:rPr>
          <w:rFonts w:hint="eastAsia" w:ascii="仿宋" w:hAnsi="仿宋" w:eastAsia="仿宋" w:cs="宋体"/>
          <w:sz w:val="32"/>
          <w:szCs w:val="32"/>
          <w:shd w:val="clear" w:color="auto" w:fill="FEFDFB"/>
        </w:rPr>
        <w:t>中药学”以及安徽省一流本科专业制药工程专业建设，</w:t>
      </w:r>
      <w:r>
        <w:rPr>
          <w:rFonts w:hint="eastAsia" w:ascii="仿宋" w:hAnsi="仿宋" w:eastAsia="仿宋" w:cs="宋体"/>
          <w:sz w:val="32"/>
          <w:szCs w:val="32"/>
        </w:rPr>
        <w:t>以解决行业问题为导向，围绕中医药健康产业共性问题，贯彻OBE教育理念，构建问题导向的课程体系，强化产教融合、科教融汇的教学方式，致力于培养德智体美劳全面发展、服务于区域中医药健康产业需求并具有较强专业实践创新能力的应用型中医药和大健康专业人才。</w:t>
      </w:r>
    </w:p>
    <w:p w14:paraId="010C06AD">
      <w:pPr>
        <w:ind w:firstLine="640" w:firstLineChars="200"/>
        <w:rPr>
          <w:rFonts w:ascii="仿宋" w:hAnsi="仿宋" w:eastAsia="仿宋" w:cs="宋体"/>
          <w:sz w:val="32"/>
          <w:szCs w:val="32"/>
          <w:lang w:bidi="ar"/>
        </w:rPr>
      </w:pPr>
      <w:r>
        <w:rPr>
          <w:rFonts w:hint="eastAsia" w:ascii="仿宋" w:hAnsi="仿宋" w:eastAsia="仿宋" w:cs="宋体"/>
          <w:sz w:val="32"/>
          <w:szCs w:val="32"/>
          <w:lang w:bidi="ar"/>
        </w:rPr>
        <w:t>微专业通过整合皖西学院生物与制药工程学院、</w:t>
      </w:r>
      <w:r>
        <w:rPr>
          <w:rFonts w:hint="eastAsia" w:ascii="仿宋" w:hAnsi="仿宋" w:eastAsia="仿宋" w:cs="宋体"/>
          <w:sz w:val="32"/>
          <w:szCs w:val="32"/>
        </w:rPr>
        <w:t>九仙尊霍山石斛股份有限公司、华润三九（六安）中药材产业发展有限公司</w:t>
      </w:r>
      <w:r>
        <w:rPr>
          <w:rFonts w:hint="eastAsia" w:ascii="仿宋" w:hAnsi="仿宋" w:eastAsia="仿宋" w:cs="宋体"/>
          <w:sz w:val="32"/>
          <w:szCs w:val="32"/>
          <w:lang w:bidi="ar"/>
        </w:rPr>
        <w:t>及六安市中药材产业协会等多方优质资源，形成一套“校企合作、产教融合”的人才培养模式。师资力量雄厚，科研与实践教学平台配置扎实，为现代中药制药与健康微专业的建设提供了师资保障。</w:t>
      </w:r>
    </w:p>
    <w:p w14:paraId="3B8E50D5">
      <w:pPr>
        <w:ind w:firstLine="640" w:firstLineChars="200"/>
        <w:rPr>
          <w:rFonts w:ascii="仿宋" w:hAnsi="仿宋" w:eastAsia="仿宋"/>
          <w:sz w:val="32"/>
          <w:szCs w:val="32"/>
        </w:rPr>
      </w:pPr>
      <w:r>
        <w:rPr>
          <w:rFonts w:hint="eastAsia" w:ascii="仿宋" w:hAnsi="仿宋" w:eastAsia="仿宋"/>
          <w:sz w:val="32"/>
          <w:szCs w:val="32"/>
        </w:rPr>
        <w:t>二、</w:t>
      </w:r>
      <w:r>
        <w:rPr>
          <w:rFonts w:ascii="仿宋" w:hAnsi="仿宋" w:eastAsia="仿宋"/>
          <w:sz w:val="32"/>
          <w:szCs w:val="32"/>
        </w:rPr>
        <w:t>培养目标</w:t>
      </w:r>
    </w:p>
    <w:p w14:paraId="77890310">
      <w:pPr>
        <w:ind w:firstLine="640" w:firstLineChars="200"/>
        <w:rPr>
          <w:rFonts w:ascii="仿宋" w:hAnsi="仿宋" w:eastAsia="仿宋" w:cs="宋体"/>
          <w:sz w:val="32"/>
          <w:szCs w:val="32"/>
        </w:rPr>
      </w:pPr>
      <w:r>
        <w:rPr>
          <w:rFonts w:hint="eastAsia" w:ascii="仿宋" w:hAnsi="仿宋" w:eastAsia="仿宋" w:cs="宋体"/>
          <w:sz w:val="32"/>
          <w:szCs w:val="32"/>
          <w:lang w:bidi="ar"/>
        </w:rPr>
        <w:t xml:space="preserve">培养德、智、体、美、劳全面发展，具备现代中医药健康专业基本理论知识，掌握中医药加工生产和大健康产品开发的基本原理和基本技能，清楚行业发展状况与市场需求的中医药与健康领域的应用型、创新型、复合型人才。能从事健康、医药、食品等领域的生产、管理、研发和旅游文化工作。毕业后，经过工作实践，在职业和专业成就方面能达到以下目标： </w:t>
      </w:r>
    </w:p>
    <w:p w14:paraId="2EBB8C6B">
      <w:pPr>
        <w:ind w:firstLine="643" w:firstLineChars="200"/>
        <w:rPr>
          <w:rFonts w:ascii="仿宋" w:hAnsi="仿宋" w:eastAsia="仿宋" w:cs="宋体"/>
          <w:sz w:val="32"/>
          <w:szCs w:val="32"/>
        </w:rPr>
      </w:pPr>
      <w:r>
        <w:rPr>
          <w:rFonts w:hint="eastAsia" w:ascii="仿宋" w:hAnsi="仿宋" w:eastAsia="仿宋" w:cs="宋体"/>
          <w:b/>
          <w:bCs/>
          <w:sz w:val="32"/>
          <w:szCs w:val="32"/>
          <w:lang w:bidi="ar"/>
        </w:rPr>
        <w:t>目标 1：</w:t>
      </w:r>
      <w:r>
        <w:rPr>
          <w:rFonts w:hint="eastAsia" w:ascii="仿宋" w:hAnsi="仿宋" w:eastAsia="仿宋" w:cs="宋体"/>
          <w:sz w:val="32"/>
          <w:szCs w:val="32"/>
          <w:lang w:bidi="ar"/>
        </w:rPr>
        <w:t xml:space="preserve">能够熟练运用新产品研发、中药材种植、药品生产、营养健康等基本知识和技术，分析中医药健康产业领域的关键技术问题、提出系统性方案并予以解决； </w:t>
      </w:r>
    </w:p>
    <w:p w14:paraId="7C2CB8EC">
      <w:pPr>
        <w:ind w:firstLine="643" w:firstLineChars="200"/>
        <w:rPr>
          <w:rFonts w:ascii="仿宋" w:hAnsi="仿宋" w:eastAsia="仿宋" w:cs="宋体"/>
          <w:sz w:val="32"/>
          <w:szCs w:val="32"/>
        </w:rPr>
      </w:pPr>
      <w:r>
        <w:rPr>
          <w:rFonts w:hint="eastAsia" w:ascii="仿宋" w:hAnsi="仿宋" w:eastAsia="仿宋" w:cs="宋体"/>
          <w:b/>
          <w:bCs/>
          <w:sz w:val="32"/>
          <w:szCs w:val="32"/>
          <w:lang w:bidi="ar"/>
        </w:rPr>
        <w:t>目标 2：</w:t>
      </w:r>
      <w:r>
        <w:rPr>
          <w:rFonts w:hint="eastAsia" w:ascii="仿宋" w:hAnsi="仿宋" w:eastAsia="仿宋" w:cs="宋体"/>
          <w:sz w:val="32"/>
          <w:szCs w:val="32"/>
          <w:lang w:bidi="ar"/>
        </w:rPr>
        <w:t xml:space="preserve">能够承担新产品开发、工艺研发、药品生产等工作，并能在实践过程中综合考虑环境因素和相关政策、法规，达到一定学术与实践水平； </w:t>
      </w:r>
    </w:p>
    <w:p w14:paraId="60D9D21B">
      <w:pPr>
        <w:ind w:firstLine="643" w:firstLineChars="200"/>
        <w:rPr>
          <w:rFonts w:ascii="仿宋" w:hAnsi="仿宋" w:eastAsia="仿宋" w:cs="宋体"/>
          <w:b/>
          <w:sz w:val="32"/>
          <w:szCs w:val="32"/>
        </w:rPr>
      </w:pPr>
      <w:r>
        <w:rPr>
          <w:rFonts w:hint="eastAsia" w:ascii="仿宋" w:hAnsi="仿宋" w:eastAsia="仿宋" w:cs="宋体"/>
          <w:b/>
          <w:bCs/>
          <w:sz w:val="32"/>
          <w:szCs w:val="32"/>
          <w:lang w:bidi="ar"/>
        </w:rPr>
        <w:t>目标 3：</w:t>
      </w:r>
      <w:r>
        <w:rPr>
          <w:rFonts w:hint="eastAsia" w:ascii="仿宋" w:hAnsi="仿宋" w:eastAsia="仿宋" w:cs="宋体"/>
          <w:sz w:val="32"/>
          <w:szCs w:val="32"/>
          <w:lang w:bidi="ar"/>
        </w:rPr>
        <w:t>具有一定的国际视野，良好的团队合作能力，拥有终身学习和自我拓展的能力，能从事医药、营养健康、食品等领域的研发、生产、管理和旅游文化工作。</w:t>
      </w:r>
    </w:p>
    <w:p w14:paraId="0BD19832">
      <w:pPr>
        <w:ind w:firstLine="640" w:firstLineChars="200"/>
        <w:rPr>
          <w:rFonts w:ascii="仿宋" w:hAnsi="仿宋" w:eastAsia="仿宋"/>
          <w:sz w:val="32"/>
          <w:szCs w:val="32"/>
        </w:rPr>
      </w:pPr>
      <w:r>
        <w:rPr>
          <w:rFonts w:hint="eastAsia" w:ascii="仿宋" w:hAnsi="仿宋" w:eastAsia="仿宋"/>
          <w:sz w:val="32"/>
          <w:szCs w:val="32"/>
        </w:rPr>
        <w:t>三、</w:t>
      </w:r>
      <w:r>
        <w:rPr>
          <w:rFonts w:ascii="仿宋" w:hAnsi="仿宋" w:eastAsia="仿宋"/>
          <w:sz w:val="32"/>
          <w:szCs w:val="32"/>
        </w:rPr>
        <w:t>招生对象及条件</w:t>
      </w:r>
    </w:p>
    <w:p w14:paraId="2A52FFA8">
      <w:pPr>
        <w:ind w:firstLine="640" w:firstLineChars="200"/>
        <w:rPr>
          <w:rFonts w:ascii="仿宋" w:hAnsi="仿宋" w:eastAsia="仿宋" w:cs="宋体"/>
          <w:sz w:val="32"/>
          <w:szCs w:val="32"/>
          <w:lang w:bidi="ar"/>
        </w:rPr>
      </w:pPr>
      <w:r>
        <w:rPr>
          <w:rFonts w:hint="eastAsia" w:ascii="仿宋" w:hAnsi="仿宋" w:eastAsia="仿宋" w:cs="宋体"/>
          <w:sz w:val="32"/>
          <w:szCs w:val="32"/>
        </w:rPr>
        <w:t>本微专业面向皖西学院202</w:t>
      </w:r>
      <w:r>
        <w:rPr>
          <w:rFonts w:hint="eastAsia" w:ascii="仿宋" w:hAnsi="仿宋" w:eastAsia="仿宋" w:cs="宋体"/>
          <w:sz w:val="32"/>
          <w:szCs w:val="32"/>
          <w:lang w:val="en-US" w:eastAsia="zh-CN"/>
        </w:rPr>
        <w:t>3</w:t>
      </w:r>
      <w:r>
        <w:rPr>
          <w:rFonts w:hint="eastAsia" w:ascii="仿宋" w:hAnsi="仿宋" w:eastAsia="仿宋" w:cs="宋体"/>
          <w:sz w:val="32"/>
          <w:szCs w:val="32"/>
        </w:rPr>
        <w:t>级</w:t>
      </w:r>
      <w:r>
        <w:rPr>
          <w:rFonts w:hint="eastAsia" w:ascii="仿宋" w:hAnsi="仿宋" w:eastAsia="仿宋" w:cs="宋体"/>
          <w:sz w:val="32"/>
          <w:szCs w:val="32"/>
          <w:lang w:eastAsia="zh-CN"/>
        </w:rPr>
        <w:t>、</w:t>
      </w:r>
      <w:r>
        <w:rPr>
          <w:rFonts w:hint="eastAsia" w:ascii="仿宋" w:hAnsi="仿宋" w:eastAsia="仿宋" w:cs="宋体"/>
          <w:sz w:val="32"/>
          <w:szCs w:val="32"/>
          <w:lang w:val="en-US" w:eastAsia="zh-CN"/>
        </w:rPr>
        <w:t>2024级（同等条件下优先录取2023级学生）</w:t>
      </w:r>
      <w:r>
        <w:rPr>
          <w:rFonts w:hint="eastAsia" w:ascii="仿宋" w:hAnsi="仿宋" w:eastAsia="仿宋" w:cs="宋体"/>
          <w:sz w:val="32"/>
          <w:szCs w:val="32"/>
          <w:lang w:bidi="ar"/>
        </w:rPr>
        <w:t>生物医药类、食品类、农林类</w:t>
      </w:r>
      <w:r>
        <w:rPr>
          <w:rFonts w:hint="eastAsia" w:ascii="仿宋" w:hAnsi="仿宋" w:eastAsia="仿宋" w:cs="宋体"/>
          <w:sz w:val="32"/>
          <w:szCs w:val="32"/>
          <w:lang w:val="en-US" w:eastAsia="zh-CN" w:bidi="ar"/>
        </w:rPr>
        <w:t>等</w:t>
      </w:r>
      <w:r>
        <w:rPr>
          <w:rFonts w:hint="eastAsia" w:ascii="仿宋" w:hAnsi="仿宋" w:eastAsia="仿宋" w:cs="宋体"/>
          <w:sz w:val="32"/>
          <w:szCs w:val="32"/>
          <w:lang w:bidi="ar"/>
        </w:rPr>
        <w:t>相关专业的</w:t>
      </w:r>
      <w:r>
        <w:rPr>
          <w:rFonts w:hint="eastAsia" w:ascii="仿宋" w:hAnsi="仿宋" w:eastAsia="仿宋" w:cs="宋体"/>
          <w:sz w:val="32"/>
          <w:szCs w:val="32"/>
        </w:rPr>
        <w:t>在读全日制普通本科生，学生需</w:t>
      </w:r>
      <w:r>
        <w:rPr>
          <w:rFonts w:hint="eastAsia" w:ascii="仿宋" w:hAnsi="仿宋" w:eastAsia="仿宋" w:cs="宋体"/>
          <w:sz w:val="32"/>
          <w:szCs w:val="32"/>
          <w:lang w:bidi="ar"/>
        </w:rPr>
        <w:t>对中医药与大健康</w:t>
      </w:r>
      <w:r>
        <w:rPr>
          <w:rFonts w:hint="eastAsia" w:ascii="仿宋" w:hAnsi="仿宋" w:eastAsia="仿宋" w:cs="宋体"/>
          <w:sz w:val="32"/>
          <w:szCs w:val="32"/>
        </w:rPr>
        <w:t>领域</w:t>
      </w:r>
      <w:r>
        <w:rPr>
          <w:rFonts w:hint="eastAsia" w:ascii="仿宋" w:hAnsi="仿宋" w:eastAsia="仿宋" w:cs="宋体"/>
          <w:sz w:val="32"/>
          <w:szCs w:val="32"/>
          <w:lang w:bidi="ar"/>
        </w:rPr>
        <w:t>有浓厚兴趣，致力于在该领域获得较系统的知识和能力，毕业后计划在该领域从事相关工作。</w:t>
      </w:r>
    </w:p>
    <w:p w14:paraId="27C84B7E">
      <w:pPr>
        <w:ind w:firstLine="640" w:firstLineChars="200"/>
        <w:rPr>
          <w:rFonts w:ascii="仿宋" w:hAnsi="仿宋" w:eastAsia="仿宋"/>
          <w:sz w:val="32"/>
          <w:szCs w:val="32"/>
        </w:rPr>
      </w:pPr>
      <w:r>
        <w:rPr>
          <w:rFonts w:hint="eastAsia" w:ascii="仿宋" w:hAnsi="仿宋" w:eastAsia="仿宋"/>
          <w:sz w:val="32"/>
          <w:szCs w:val="32"/>
        </w:rPr>
        <w:t>四、</w:t>
      </w:r>
      <w:r>
        <w:rPr>
          <w:rFonts w:ascii="仿宋" w:hAnsi="仿宋" w:eastAsia="仿宋"/>
          <w:sz w:val="32"/>
          <w:szCs w:val="32"/>
        </w:rPr>
        <w:t>学分要求</w:t>
      </w:r>
    </w:p>
    <w:p w14:paraId="70E21946">
      <w:pPr>
        <w:pStyle w:val="5"/>
        <w:widowControl/>
        <w:spacing w:before="0" w:beforeAutospacing="0" w:after="0" w:afterAutospacing="0"/>
        <w:ind w:firstLine="640" w:firstLineChars="200"/>
        <w:jc w:val="both"/>
        <w:rPr>
          <w:rFonts w:ascii="仿宋" w:hAnsi="仿宋" w:eastAsia="仿宋" w:cs="宋体"/>
          <w:sz w:val="32"/>
          <w:szCs w:val="32"/>
        </w:rPr>
      </w:pPr>
      <w:r>
        <w:rPr>
          <w:rFonts w:hint="eastAsia" w:ascii="仿宋" w:hAnsi="仿宋" w:eastAsia="仿宋" w:cs="宋体"/>
          <w:sz w:val="32"/>
          <w:szCs w:val="32"/>
        </w:rPr>
        <w:t>1.学制1.5年。</w:t>
      </w:r>
    </w:p>
    <w:p w14:paraId="370F507A">
      <w:pPr>
        <w:pStyle w:val="5"/>
        <w:widowControl/>
        <w:spacing w:before="0" w:beforeAutospacing="0" w:after="0" w:afterAutospacing="0"/>
        <w:ind w:firstLine="640" w:firstLineChars="200"/>
        <w:jc w:val="both"/>
        <w:rPr>
          <w:rFonts w:ascii="仿宋" w:hAnsi="仿宋" w:eastAsia="仿宋" w:cs="宋体"/>
          <w:sz w:val="32"/>
          <w:szCs w:val="32"/>
        </w:rPr>
      </w:pPr>
      <w:r>
        <w:rPr>
          <w:rFonts w:hint="eastAsia" w:ascii="仿宋" w:hAnsi="仿宋" w:eastAsia="仿宋" w:cs="宋体"/>
          <w:sz w:val="32"/>
          <w:szCs w:val="32"/>
        </w:rPr>
        <w:t>2.完成教学计划全部课程（15学分）并考核合格，由皖西学院与六安市中药材产业协会联合颁发微专业结业证书。</w:t>
      </w:r>
    </w:p>
    <w:p w14:paraId="6787B2E7">
      <w:pPr>
        <w:ind w:firstLine="640" w:firstLineChars="200"/>
        <w:rPr>
          <w:rFonts w:asciiTheme="minorEastAsia" w:hAnsiTheme="minorEastAsia"/>
          <w:sz w:val="30"/>
          <w:szCs w:val="30"/>
        </w:rPr>
      </w:pPr>
      <w:r>
        <w:rPr>
          <w:rFonts w:hint="eastAsia" w:ascii="仿宋" w:hAnsi="仿宋" w:eastAsia="仿宋"/>
          <w:sz w:val="32"/>
          <w:szCs w:val="32"/>
        </w:rPr>
        <w:t>五、</w:t>
      </w:r>
      <w:r>
        <w:rPr>
          <w:rFonts w:ascii="仿宋" w:hAnsi="仿宋" w:eastAsia="仿宋"/>
          <w:sz w:val="32"/>
          <w:szCs w:val="32"/>
        </w:rPr>
        <w:t>开课计划</w:t>
      </w:r>
    </w:p>
    <w:tbl>
      <w:tblPr>
        <w:tblStyle w:val="7"/>
        <w:tblW w:w="9179" w:type="dxa"/>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4"/>
        <w:gridCol w:w="788"/>
        <w:gridCol w:w="907"/>
        <w:gridCol w:w="862"/>
        <w:gridCol w:w="832"/>
        <w:gridCol w:w="1248"/>
        <w:gridCol w:w="1275"/>
        <w:gridCol w:w="1383"/>
      </w:tblGrid>
      <w:tr w14:paraId="62A1F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884" w:type="dxa"/>
            <w:vMerge w:val="restart"/>
            <w:vAlign w:val="center"/>
          </w:tcPr>
          <w:p w14:paraId="5A821D3C">
            <w:pPr>
              <w:widowControl/>
              <w:spacing w:line="495" w:lineRule="atLeast"/>
              <w:jc w:val="center"/>
              <w:rPr>
                <w:rFonts w:ascii="宋体" w:hAnsi="宋体" w:eastAsia="宋体" w:cs="宋体"/>
                <w:sz w:val="24"/>
                <w:szCs w:val="24"/>
              </w:rPr>
            </w:pPr>
            <w:r>
              <w:rPr>
                <w:rFonts w:ascii="Times New Roman" w:hAnsi="Times New Roman" w:eastAsia="仿宋" w:cs="Times New Roman"/>
                <w:b/>
                <w:kern w:val="0"/>
                <w:sz w:val="24"/>
                <w:szCs w:val="24"/>
              </w:rPr>
              <w:t>课程名称</w:t>
            </w:r>
          </w:p>
        </w:tc>
        <w:tc>
          <w:tcPr>
            <w:tcW w:w="1695" w:type="dxa"/>
            <w:gridSpan w:val="2"/>
            <w:vAlign w:val="center"/>
          </w:tcPr>
          <w:p w14:paraId="368E56DC">
            <w:pPr>
              <w:widowControl/>
              <w:spacing w:line="495" w:lineRule="atLeast"/>
              <w:jc w:val="center"/>
              <w:rPr>
                <w:rFonts w:ascii="宋体" w:hAnsi="宋体" w:eastAsia="宋体" w:cs="宋体"/>
                <w:sz w:val="24"/>
                <w:szCs w:val="24"/>
              </w:rPr>
            </w:pPr>
            <w:r>
              <w:rPr>
                <w:rFonts w:ascii="Times New Roman" w:hAnsi="Times New Roman" w:eastAsia="仿宋" w:cs="Times New Roman"/>
                <w:b/>
                <w:kern w:val="0"/>
                <w:sz w:val="24"/>
                <w:szCs w:val="24"/>
              </w:rPr>
              <w:t>学时</w:t>
            </w:r>
          </w:p>
        </w:tc>
        <w:tc>
          <w:tcPr>
            <w:tcW w:w="1694" w:type="dxa"/>
            <w:gridSpan w:val="2"/>
            <w:vAlign w:val="center"/>
          </w:tcPr>
          <w:p w14:paraId="287C7703">
            <w:pPr>
              <w:widowControl/>
              <w:jc w:val="center"/>
              <w:rPr>
                <w:rFonts w:ascii="宋体" w:hAnsi="宋体" w:eastAsia="宋体" w:cs="宋体"/>
                <w:sz w:val="24"/>
                <w:szCs w:val="24"/>
              </w:rPr>
            </w:pPr>
            <w:r>
              <w:rPr>
                <w:rFonts w:ascii="Times New Roman" w:hAnsi="Times New Roman" w:eastAsia="仿宋" w:cs="Times New Roman"/>
                <w:b/>
                <w:kern w:val="0"/>
                <w:sz w:val="24"/>
                <w:szCs w:val="24"/>
              </w:rPr>
              <w:t>学分</w:t>
            </w:r>
          </w:p>
        </w:tc>
        <w:tc>
          <w:tcPr>
            <w:tcW w:w="1248" w:type="dxa"/>
            <w:vMerge w:val="restart"/>
            <w:vAlign w:val="center"/>
          </w:tcPr>
          <w:p w14:paraId="7E56499A">
            <w:pPr>
              <w:widowControl/>
              <w:jc w:val="center"/>
              <w:rPr>
                <w:rFonts w:ascii="宋体" w:hAnsi="宋体" w:eastAsia="宋体" w:cs="宋体"/>
                <w:sz w:val="24"/>
                <w:szCs w:val="24"/>
              </w:rPr>
            </w:pPr>
            <w:r>
              <w:rPr>
                <w:rFonts w:ascii="Times New Roman" w:hAnsi="Times New Roman" w:eastAsia="仿宋" w:cs="Times New Roman"/>
                <w:b/>
                <w:kern w:val="0"/>
                <w:sz w:val="24"/>
                <w:szCs w:val="24"/>
              </w:rPr>
              <w:t>开课学期</w:t>
            </w:r>
          </w:p>
        </w:tc>
        <w:tc>
          <w:tcPr>
            <w:tcW w:w="1275" w:type="dxa"/>
            <w:vMerge w:val="restart"/>
            <w:vAlign w:val="center"/>
          </w:tcPr>
          <w:p w14:paraId="4A80697E">
            <w:pPr>
              <w:widowControl/>
              <w:jc w:val="center"/>
              <w:rPr>
                <w:rFonts w:ascii="宋体" w:hAnsi="宋体" w:eastAsia="宋体" w:cs="宋体"/>
                <w:sz w:val="24"/>
                <w:szCs w:val="24"/>
              </w:rPr>
            </w:pPr>
            <w:r>
              <w:rPr>
                <w:rFonts w:ascii="Times New Roman" w:hAnsi="Times New Roman" w:eastAsia="仿宋" w:cs="Times New Roman"/>
                <w:b/>
                <w:kern w:val="0"/>
                <w:sz w:val="24"/>
                <w:szCs w:val="24"/>
              </w:rPr>
              <w:t>考核方式</w:t>
            </w:r>
          </w:p>
        </w:tc>
        <w:tc>
          <w:tcPr>
            <w:tcW w:w="1383" w:type="dxa"/>
            <w:vMerge w:val="restart"/>
            <w:vAlign w:val="center"/>
          </w:tcPr>
          <w:p w14:paraId="4FDB647A">
            <w:pPr>
              <w:widowControl/>
              <w:jc w:val="center"/>
              <w:rPr>
                <w:rFonts w:ascii="宋体" w:hAnsi="宋体" w:eastAsia="宋体" w:cs="宋体"/>
                <w:sz w:val="24"/>
                <w:szCs w:val="24"/>
              </w:rPr>
            </w:pPr>
            <w:r>
              <w:rPr>
                <w:rFonts w:ascii="Times New Roman" w:hAnsi="Times New Roman" w:eastAsia="仿宋" w:cs="Times New Roman"/>
                <w:b/>
                <w:kern w:val="0"/>
                <w:sz w:val="24"/>
                <w:szCs w:val="24"/>
              </w:rPr>
              <w:t>开课单位</w:t>
            </w:r>
          </w:p>
        </w:tc>
      </w:tr>
      <w:tr w14:paraId="19982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vMerge w:val="continue"/>
          </w:tcPr>
          <w:p w14:paraId="4975756B">
            <w:pPr>
              <w:pStyle w:val="11"/>
              <w:ind w:firstLine="0" w:firstLineChars="0"/>
              <w:rPr>
                <w:rFonts w:ascii="宋体" w:hAnsi="宋体" w:eastAsia="宋体" w:cs="宋体"/>
                <w:sz w:val="24"/>
                <w:szCs w:val="24"/>
              </w:rPr>
            </w:pPr>
          </w:p>
        </w:tc>
        <w:tc>
          <w:tcPr>
            <w:tcW w:w="788" w:type="dxa"/>
            <w:vAlign w:val="center"/>
          </w:tcPr>
          <w:p w14:paraId="322FDEB7">
            <w:pPr>
              <w:widowControl/>
              <w:wordWrap w:val="0"/>
              <w:spacing w:line="495" w:lineRule="atLeast"/>
              <w:jc w:val="center"/>
              <w:rPr>
                <w:rFonts w:ascii="宋体" w:hAnsi="宋体" w:eastAsia="宋体" w:cs="宋体"/>
                <w:sz w:val="24"/>
                <w:szCs w:val="24"/>
              </w:rPr>
            </w:pPr>
            <w:r>
              <w:rPr>
                <w:rFonts w:eastAsia="仿宋"/>
                <w:b/>
                <w:kern w:val="0"/>
                <w:sz w:val="24"/>
              </w:rPr>
              <w:t>理论</w:t>
            </w:r>
          </w:p>
        </w:tc>
        <w:tc>
          <w:tcPr>
            <w:tcW w:w="907" w:type="dxa"/>
            <w:vAlign w:val="center"/>
          </w:tcPr>
          <w:p w14:paraId="2F9B322D">
            <w:pPr>
              <w:widowControl/>
              <w:wordWrap w:val="0"/>
              <w:jc w:val="center"/>
              <w:rPr>
                <w:rFonts w:ascii="宋体" w:hAnsi="宋体" w:eastAsia="宋体" w:cs="宋体"/>
                <w:sz w:val="24"/>
                <w:szCs w:val="24"/>
              </w:rPr>
            </w:pPr>
            <w:r>
              <w:rPr>
                <w:rFonts w:eastAsia="仿宋"/>
                <w:b/>
                <w:kern w:val="0"/>
                <w:sz w:val="24"/>
              </w:rPr>
              <w:t>实验实训</w:t>
            </w:r>
          </w:p>
        </w:tc>
        <w:tc>
          <w:tcPr>
            <w:tcW w:w="862" w:type="dxa"/>
            <w:vAlign w:val="center"/>
          </w:tcPr>
          <w:p w14:paraId="7535AEBB">
            <w:pPr>
              <w:widowControl/>
              <w:wordWrap w:val="0"/>
              <w:jc w:val="center"/>
              <w:rPr>
                <w:rFonts w:ascii="宋体" w:hAnsi="宋体" w:eastAsia="宋体" w:cs="宋体"/>
                <w:sz w:val="24"/>
                <w:szCs w:val="24"/>
              </w:rPr>
            </w:pPr>
            <w:r>
              <w:rPr>
                <w:rFonts w:eastAsia="仿宋"/>
                <w:b/>
                <w:kern w:val="0"/>
                <w:sz w:val="24"/>
              </w:rPr>
              <w:t>理论</w:t>
            </w:r>
          </w:p>
        </w:tc>
        <w:tc>
          <w:tcPr>
            <w:tcW w:w="832" w:type="dxa"/>
            <w:vAlign w:val="center"/>
          </w:tcPr>
          <w:p w14:paraId="1E48E1F4">
            <w:pPr>
              <w:widowControl/>
              <w:wordWrap w:val="0"/>
              <w:jc w:val="center"/>
              <w:rPr>
                <w:rFonts w:eastAsia="仿宋"/>
                <w:b/>
                <w:kern w:val="0"/>
                <w:sz w:val="24"/>
              </w:rPr>
            </w:pPr>
            <w:r>
              <w:rPr>
                <w:rFonts w:eastAsia="仿宋"/>
                <w:b/>
                <w:kern w:val="0"/>
                <w:sz w:val="24"/>
              </w:rPr>
              <w:t>实验</w:t>
            </w:r>
          </w:p>
          <w:p w14:paraId="7B0E86CB">
            <w:pPr>
              <w:widowControl/>
              <w:wordWrap w:val="0"/>
              <w:jc w:val="center"/>
              <w:rPr>
                <w:rFonts w:ascii="宋体" w:hAnsi="宋体" w:eastAsia="宋体" w:cs="宋体"/>
                <w:sz w:val="24"/>
                <w:szCs w:val="24"/>
              </w:rPr>
            </w:pPr>
            <w:r>
              <w:rPr>
                <w:rFonts w:eastAsia="仿宋"/>
                <w:b/>
                <w:kern w:val="0"/>
                <w:sz w:val="24"/>
              </w:rPr>
              <w:t>实训</w:t>
            </w:r>
          </w:p>
        </w:tc>
        <w:tc>
          <w:tcPr>
            <w:tcW w:w="1248" w:type="dxa"/>
            <w:vMerge w:val="continue"/>
          </w:tcPr>
          <w:p w14:paraId="1DF09231">
            <w:pPr>
              <w:pStyle w:val="11"/>
              <w:ind w:firstLine="0" w:firstLineChars="0"/>
              <w:rPr>
                <w:rFonts w:ascii="宋体" w:hAnsi="宋体" w:eastAsia="宋体" w:cs="宋体"/>
                <w:sz w:val="24"/>
                <w:szCs w:val="24"/>
              </w:rPr>
            </w:pPr>
          </w:p>
        </w:tc>
        <w:tc>
          <w:tcPr>
            <w:tcW w:w="1275" w:type="dxa"/>
            <w:vMerge w:val="continue"/>
          </w:tcPr>
          <w:p w14:paraId="5F5FD1BB">
            <w:pPr>
              <w:pStyle w:val="11"/>
              <w:ind w:firstLine="0" w:firstLineChars="0"/>
              <w:rPr>
                <w:rFonts w:ascii="宋体" w:hAnsi="宋体" w:eastAsia="宋体" w:cs="宋体"/>
                <w:sz w:val="24"/>
                <w:szCs w:val="24"/>
              </w:rPr>
            </w:pPr>
          </w:p>
        </w:tc>
        <w:tc>
          <w:tcPr>
            <w:tcW w:w="1383" w:type="dxa"/>
            <w:vMerge w:val="continue"/>
          </w:tcPr>
          <w:p w14:paraId="0D8504E9">
            <w:pPr>
              <w:pStyle w:val="11"/>
              <w:ind w:firstLine="0" w:firstLineChars="0"/>
              <w:rPr>
                <w:rFonts w:ascii="宋体" w:hAnsi="宋体" w:eastAsia="宋体" w:cs="宋体"/>
                <w:sz w:val="24"/>
                <w:szCs w:val="24"/>
              </w:rPr>
            </w:pPr>
          </w:p>
        </w:tc>
      </w:tr>
      <w:tr w14:paraId="0E86D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vAlign w:val="center"/>
          </w:tcPr>
          <w:p w14:paraId="2345AE0E">
            <w:pPr>
              <w:jc w:val="center"/>
              <w:rPr>
                <w:rFonts w:hint="eastAsia" w:ascii="仿宋" w:hAnsi="仿宋" w:eastAsia="仿宋" w:cs="仿宋"/>
                <w:sz w:val="24"/>
                <w:szCs w:val="24"/>
              </w:rPr>
            </w:pPr>
            <w:r>
              <w:rPr>
                <w:rFonts w:hint="eastAsia" w:ascii="仿宋" w:hAnsi="仿宋" w:eastAsia="仿宋" w:cs="仿宋"/>
                <w:sz w:val="24"/>
                <w:szCs w:val="24"/>
                <w:shd w:val="clear" w:color="auto" w:fill="FFFFFF"/>
              </w:rPr>
              <w:t>中药新药研究与健康产品开发</w:t>
            </w:r>
          </w:p>
        </w:tc>
        <w:tc>
          <w:tcPr>
            <w:tcW w:w="788" w:type="dxa"/>
            <w:vAlign w:val="center"/>
          </w:tcPr>
          <w:p w14:paraId="54074B3A">
            <w:pPr>
              <w:jc w:val="center"/>
              <w:rPr>
                <w:rFonts w:hint="eastAsia" w:ascii="仿宋" w:hAnsi="仿宋" w:eastAsia="仿宋" w:cs="仿宋"/>
                <w:sz w:val="24"/>
                <w:szCs w:val="24"/>
              </w:rPr>
            </w:pPr>
            <w:r>
              <w:rPr>
                <w:rFonts w:hint="eastAsia" w:ascii="仿宋" w:hAnsi="仿宋" w:eastAsia="仿宋" w:cs="仿宋"/>
                <w:sz w:val="24"/>
                <w:szCs w:val="24"/>
              </w:rPr>
              <w:t>32</w:t>
            </w:r>
          </w:p>
        </w:tc>
        <w:tc>
          <w:tcPr>
            <w:tcW w:w="907" w:type="dxa"/>
            <w:vAlign w:val="center"/>
          </w:tcPr>
          <w:p w14:paraId="2A4B600A">
            <w:pPr>
              <w:jc w:val="center"/>
              <w:rPr>
                <w:rFonts w:hint="eastAsia" w:ascii="仿宋" w:hAnsi="仿宋" w:eastAsia="仿宋" w:cs="仿宋"/>
                <w:sz w:val="24"/>
                <w:szCs w:val="24"/>
              </w:rPr>
            </w:pPr>
          </w:p>
        </w:tc>
        <w:tc>
          <w:tcPr>
            <w:tcW w:w="862" w:type="dxa"/>
            <w:vAlign w:val="center"/>
          </w:tcPr>
          <w:p w14:paraId="75E184D0">
            <w:pPr>
              <w:jc w:val="center"/>
              <w:rPr>
                <w:rFonts w:hint="eastAsia" w:ascii="仿宋" w:hAnsi="仿宋" w:eastAsia="仿宋" w:cs="仿宋"/>
                <w:sz w:val="24"/>
                <w:szCs w:val="24"/>
              </w:rPr>
            </w:pPr>
            <w:r>
              <w:rPr>
                <w:rFonts w:hint="eastAsia" w:ascii="仿宋" w:hAnsi="仿宋" w:eastAsia="仿宋" w:cs="仿宋"/>
                <w:sz w:val="24"/>
                <w:szCs w:val="24"/>
              </w:rPr>
              <w:t>2</w:t>
            </w:r>
          </w:p>
        </w:tc>
        <w:tc>
          <w:tcPr>
            <w:tcW w:w="832" w:type="dxa"/>
            <w:vAlign w:val="center"/>
          </w:tcPr>
          <w:p w14:paraId="684912C0">
            <w:pPr>
              <w:jc w:val="center"/>
              <w:rPr>
                <w:rFonts w:hint="eastAsia" w:ascii="仿宋" w:hAnsi="仿宋" w:eastAsia="仿宋" w:cs="仿宋"/>
                <w:sz w:val="24"/>
                <w:szCs w:val="24"/>
              </w:rPr>
            </w:pPr>
          </w:p>
        </w:tc>
        <w:tc>
          <w:tcPr>
            <w:tcW w:w="1248" w:type="dxa"/>
            <w:vAlign w:val="center"/>
          </w:tcPr>
          <w:p w14:paraId="38F06135">
            <w:pPr>
              <w:jc w:val="center"/>
              <w:rPr>
                <w:rFonts w:hint="eastAsia" w:ascii="仿宋" w:hAnsi="仿宋" w:eastAsia="仿宋" w:cs="仿宋"/>
                <w:sz w:val="24"/>
                <w:szCs w:val="24"/>
              </w:rPr>
            </w:pPr>
            <w:r>
              <w:rPr>
                <w:rFonts w:hint="eastAsia" w:ascii="仿宋" w:hAnsi="仿宋" w:eastAsia="仿宋" w:cs="仿宋"/>
                <w:sz w:val="24"/>
                <w:szCs w:val="24"/>
              </w:rPr>
              <w:t>第一学期</w:t>
            </w:r>
          </w:p>
        </w:tc>
        <w:tc>
          <w:tcPr>
            <w:tcW w:w="1275" w:type="dxa"/>
            <w:vAlign w:val="center"/>
          </w:tcPr>
          <w:p w14:paraId="1A4200E7">
            <w:pPr>
              <w:jc w:val="center"/>
              <w:rPr>
                <w:rFonts w:hint="eastAsia" w:ascii="仿宋" w:hAnsi="仿宋" w:eastAsia="仿宋" w:cs="仿宋"/>
                <w:sz w:val="24"/>
                <w:szCs w:val="24"/>
              </w:rPr>
            </w:pPr>
            <w:r>
              <w:rPr>
                <w:rFonts w:hint="eastAsia" w:ascii="仿宋" w:hAnsi="仿宋" w:eastAsia="仿宋" w:cs="仿宋"/>
                <w:sz w:val="24"/>
                <w:szCs w:val="24"/>
              </w:rPr>
              <w:t>考试</w:t>
            </w:r>
          </w:p>
        </w:tc>
        <w:tc>
          <w:tcPr>
            <w:tcW w:w="1383" w:type="dxa"/>
            <w:vAlign w:val="center"/>
          </w:tcPr>
          <w:p w14:paraId="43B54A3E">
            <w:pPr>
              <w:jc w:val="center"/>
              <w:rPr>
                <w:rFonts w:hint="default" w:ascii="仿宋" w:hAnsi="仿宋" w:eastAsia="仿宋" w:cs="仿宋"/>
                <w:sz w:val="24"/>
                <w:szCs w:val="24"/>
                <w:lang w:val="en-US" w:eastAsia="zh-CN"/>
              </w:rPr>
            </w:pPr>
            <w:r>
              <w:rPr>
                <w:rFonts w:hint="eastAsia" w:ascii="仿宋" w:hAnsi="仿宋" w:eastAsia="仿宋" w:cs="仿宋"/>
                <w:sz w:val="24"/>
                <w:szCs w:val="24"/>
              </w:rPr>
              <w:t>生工</w:t>
            </w:r>
            <w:r>
              <w:rPr>
                <w:rFonts w:hint="eastAsia" w:ascii="仿宋" w:hAnsi="仿宋" w:eastAsia="仿宋" w:cs="仿宋"/>
                <w:sz w:val="24"/>
                <w:szCs w:val="24"/>
                <w:lang w:val="en-US" w:eastAsia="zh-CN"/>
              </w:rPr>
              <w:t>学院、合作企业</w:t>
            </w:r>
          </w:p>
        </w:tc>
      </w:tr>
      <w:tr w14:paraId="1C72D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vAlign w:val="center"/>
          </w:tcPr>
          <w:p w14:paraId="5F4DCB2F">
            <w:pPr>
              <w:jc w:val="center"/>
              <w:rPr>
                <w:rFonts w:hint="eastAsia" w:ascii="仿宋" w:hAnsi="仿宋" w:eastAsia="仿宋" w:cs="仿宋"/>
                <w:sz w:val="24"/>
                <w:szCs w:val="24"/>
              </w:rPr>
            </w:pPr>
            <w:r>
              <w:rPr>
                <w:rFonts w:hint="eastAsia" w:ascii="仿宋" w:hAnsi="仿宋" w:eastAsia="仿宋" w:cs="仿宋"/>
                <w:sz w:val="24"/>
                <w:szCs w:val="24"/>
              </w:rPr>
              <w:t>中药文化与健康</w:t>
            </w:r>
          </w:p>
        </w:tc>
        <w:tc>
          <w:tcPr>
            <w:tcW w:w="788" w:type="dxa"/>
            <w:vAlign w:val="center"/>
          </w:tcPr>
          <w:p w14:paraId="1F4A519C">
            <w:pPr>
              <w:jc w:val="center"/>
              <w:rPr>
                <w:rFonts w:hint="eastAsia" w:ascii="仿宋" w:hAnsi="仿宋" w:eastAsia="仿宋" w:cs="仿宋"/>
                <w:sz w:val="24"/>
                <w:szCs w:val="24"/>
              </w:rPr>
            </w:pPr>
            <w:r>
              <w:rPr>
                <w:rFonts w:hint="eastAsia" w:ascii="仿宋" w:hAnsi="仿宋" w:eastAsia="仿宋" w:cs="仿宋"/>
                <w:sz w:val="24"/>
                <w:szCs w:val="24"/>
              </w:rPr>
              <w:t>32</w:t>
            </w:r>
          </w:p>
        </w:tc>
        <w:tc>
          <w:tcPr>
            <w:tcW w:w="907" w:type="dxa"/>
            <w:vAlign w:val="center"/>
          </w:tcPr>
          <w:p w14:paraId="06DB961A">
            <w:pPr>
              <w:jc w:val="center"/>
              <w:rPr>
                <w:rFonts w:hint="eastAsia" w:ascii="仿宋" w:hAnsi="仿宋" w:eastAsia="仿宋" w:cs="仿宋"/>
                <w:sz w:val="24"/>
                <w:szCs w:val="24"/>
              </w:rPr>
            </w:pPr>
          </w:p>
        </w:tc>
        <w:tc>
          <w:tcPr>
            <w:tcW w:w="862" w:type="dxa"/>
            <w:vAlign w:val="center"/>
          </w:tcPr>
          <w:p w14:paraId="7F4E3FE1">
            <w:pPr>
              <w:jc w:val="center"/>
              <w:rPr>
                <w:rFonts w:hint="eastAsia" w:ascii="仿宋" w:hAnsi="仿宋" w:eastAsia="仿宋" w:cs="仿宋"/>
                <w:sz w:val="24"/>
                <w:szCs w:val="24"/>
              </w:rPr>
            </w:pPr>
            <w:r>
              <w:rPr>
                <w:rFonts w:hint="eastAsia" w:ascii="仿宋" w:hAnsi="仿宋" w:eastAsia="仿宋" w:cs="仿宋"/>
                <w:sz w:val="24"/>
                <w:szCs w:val="24"/>
              </w:rPr>
              <w:t>2</w:t>
            </w:r>
          </w:p>
        </w:tc>
        <w:tc>
          <w:tcPr>
            <w:tcW w:w="832" w:type="dxa"/>
            <w:vAlign w:val="center"/>
          </w:tcPr>
          <w:p w14:paraId="476F83D4">
            <w:pPr>
              <w:jc w:val="center"/>
              <w:rPr>
                <w:rFonts w:hint="eastAsia" w:ascii="仿宋" w:hAnsi="仿宋" w:eastAsia="仿宋" w:cs="仿宋"/>
                <w:sz w:val="24"/>
                <w:szCs w:val="24"/>
              </w:rPr>
            </w:pPr>
          </w:p>
        </w:tc>
        <w:tc>
          <w:tcPr>
            <w:tcW w:w="1248" w:type="dxa"/>
            <w:vAlign w:val="center"/>
          </w:tcPr>
          <w:p w14:paraId="07D6EDC7">
            <w:pPr>
              <w:jc w:val="center"/>
              <w:rPr>
                <w:rFonts w:hint="eastAsia" w:ascii="仿宋" w:hAnsi="仿宋" w:eastAsia="仿宋" w:cs="仿宋"/>
                <w:sz w:val="24"/>
                <w:szCs w:val="24"/>
              </w:rPr>
            </w:pPr>
            <w:r>
              <w:rPr>
                <w:rFonts w:hint="eastAsia" w:ascii="仿宋" w:hAnsi="仿宋" w:eastAsia="仿宋" w:cs="仿宋"/>
                <w:sz w:val="24"/>
                <w:szCs w:val="24"/>
              </w:rPr>
              <w:t>第一学期</w:t>
            </w:r>
          </w:p>
        </w:tc>
        <w:tc>
          <w:tcPr>
            <w:tcW w:w="1275" w:type="dxa"/>
            <w:vAlign w:val="center"/>
          </w:tcPr>
          <w:p w14:paraId="330B77A9">
            <w:pPr>
              <w:jc w:val="center"/>
              <w:rPr>
                <w:rFonts w:hint="eastAsia" w:ascii="仿宋" w:hAnsi="仿宋" w:eastAsia="仿宋" w:cs="仿宋"/>
                <w:sz w:val="24"/>
                <w:szCs w:val="24"/>
              </w:rPr>
            </w:pPr>
            <w:r>
              <w:rPr>
                <w:rFonts w:hint="eastAsia" w:ascii="仿宋" w:hAnsi="仿宋" w:eastAsia="仿宋" w:cs="仿宋"/>
                <w:sz w:val="24"/>
                <w:szCs w:val="24"/>
              </w:rPr>
              <w:t>考试</w:t>
            </w:r>
          </w:p>
        </w:tc>
        <w:tc>
          <w:tcPr>
            <w:tcW w:w="1383" w:type="dxa"/>
            <w:vAlign w:val="center"/>
          </w:tcPr>
          <w:p w14:paraId="715588ED">
            <w:pPr>
              <w:jc w:val="center"/>
              <w:rPr>
                <w:rFonts w:hint="eastAsia" w:ascii="仿宋" w:hAnsi="仿宋" w:eastAsia="仿宋" w:cs="仿宋"/>
                <w:sz w:val="24"/>
                <w:szCs w:val="24"/>
              </w:rPr>
            </w:pPr>
            <w:r>
              <w:rPr>
                <w:rFonts w:hint="eastAsia" w:ascii="仿宋" w:hAnsi="仿宋" w:eastAsia="仿宋" w:cs="仿宋"/>
                <w:sz w:val="24"/>
                <w:szCs w:val="24"/>
              </w:rPr>
              <w:t>生工</w:t>
            </w:r>
            <w:r>
              <w:rPr>
                <w:rFonts w:hint="eastAsia" w:ascii="仿宋" w:hAnsi="仿宋" w:eastAsia="仿宋" w:cs="仿宋"/>
                <w:sz w:val="24"/>
                <w:szCs w:val="24"/>
                <w:lang w:val="en-US" w:eastAsia="zh-CN"/>
              </w:rPr>
              <w:t>学院、合作企业</w:t>
            </w:r>
          </w:p>
        </w:tc>
      </w:tr>
      <w:tr w14:paraId="7A06B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884" w:type="dxa"/>
            <w:vAlign w:val="center"/>
          </w:tcPr>
          <w:p w14:paraId="2A960E41">
            <w:pPr>
              <w:jc w:val="center"/>
              <w:rPr>
                <w:rFonts w:hint="eastAsia" w:ascii="仿宋" w:hAnsi="仿宋" w:eastAsia="仿宋" w:cs="仿宋"/>
                <w:sz w:val="24"/>
                <w:szCs w:val="24"/>
              </w:rPr>
            </w:pPr>
            <w:r>
              <w:rPr>
                <w:rFonts w:hint="eastAsia" w:ascii="仿宋" w:hAnsi="仿宋" w:eastAsia="仿宋" w:cs="仿宋"/>
                <w:sz w:val="24"/>
                <w:szCs w:val="24"/>
              </w:rPr>
              <w:t>中药栽培技术</w:t>
            </w:r>
          </w:p>
        </w:tc>
        <w:tc>
          <w:tcPr>
            <w:tcW w:w="788" w:type="dxa"/>
            <w:vAlign w:val="center"/>
          </w:tcPr>
          <w:p w14:paraId="46C1622B">
            <w:pPr>
              <w:jc w:val="center"/>
              <w:rPr>
                <w:rFonts w:hint="eastAsia" w:ascii="仿宋" w:hAnsi="仿宋" w:eastAsia="仿宋" w:cs="仿宋"/>
                <w:sz w:val="24"/>
                <w:szCs w:val="24"/>
              </w:rPr>
            </w:pPr>
            <w:r>
              <w:rPr>
                <w:rFonts w:hint="eastAsia" w:ascii="仿宋" w:hAnsi="仿宋" w:eastAsia="仿宋" w:cs="仿宋"/>
                <w:sz w:val="24"/>
                <w:szCs w:val="24"/>
              </w:rPr>
              <w:t>16</w:t>
            </w:r>
          </w:p>
        </w:tc>
        <w:tc>
          <w:tcPr>
            <w:tcW w:w="907" w:type="dxa"/>
            <w:vAlign w:val="center"/>
          </w:tcPr>
          <w:p w14:paraId="1AED6924">
            <w:pPr>
              <w:jc w:val="center"/>
              <w:rPr>
                <w:rFonts w:hint="eastAsia" w:ascii="仿宋" w:hAnsi="仿宋" w:eastAsia="仿宋" w:cs="仿宋"/>
                <w:sz w:val="24"/>
                <w:szCs w:val="24"/>
              </w:rPr>
            </w:pPr>
            <w:r>
              <w:rPr>
                <w:rFonts w:hint="eastAsia" w:ascii="仿宋" w:hAnsi="仿宋" w:eastAsia="仿宋" w:cs="仿宋"/>
                <w:sz w:val="24"/>
                <w:szCs w:val="24"/>
              </w:rPr>
              <w:t>2周</w:t>
            </w:r>
          </w:p>
        </w:tc>
        <w:tc>
          <w:tcPr>
            <w:tcW w:w="862" w:type="dxa"/>
            <w:vAlign w:val="center"/>
          </w:tcPr>
          <w:p w14:paraId="38D11FF5">
            <w:pPr>
              <w:jc w:val="center"/>
              <w:rPr>
                <w:rFonts w:hint="eastAsia" w:ascii="仿宋" w:hAnsi="仿宋" w:eastAsia="仿宋" w:cs="仿宋"/>
                <w:sz w:val="24"/>
                <w:szCs w:val="24"/>
              </w:rPr>
            </w:pPr>
            <w:r>
              <w:rPr>
                <w:rFonts w:hint="eastAsia" w:ascii="仿宋" w:hAnsi="仿宋" w:eastAsia="仿宋" w:cs="仿宋"/>
                <w:sz w:val="24"/>
                <w:szCs w:val="24"/>
              </w:rPr>
              <w:t>1</w:t>
            </w:r>
          </w:p>
        </w:tc>
        <w:tc>
          <w:tcPr>
            <w:tcW w:w="832" w:type="dxa"/>
            <w:vAlign w:val="center"/>
          </w:tcPr>
          <w:p w14:paraId="71ACC771">
            <w:pPr>
              <w:jc w:val="center"/>
              <w:rPr>
                <w:rFonts w:hint="eastAsia" w:ascii="仿宋" w:hAnsi="仿宋" w:eastAsia="仿宋" w:cs="仿宋"/>
                <w:sz w:val="24"/>
                <w:szCs w:val="24"/>
              </w:rPr>
            </w:pPr>
            <w:r>
              <w:rPr>
                <w:rFonts w:hint="eastAsia" w:ascii="仿宋" w:hAnsi="仿宋" w:eastAsia="仿宋" w:cs="仿宋"/>
                <w:sz w:val="24"/>
                <w:szCs w:val="24"/>
              </w:rPr>
              <w:t>2</w:t>
            </w:r>
          </w:p>
        </w:tc>
        <w:tc>
          <w:tcPr>
            <w:tcW w:w="1248" w:type="dxa"/>
            <w:vAlign w:val="center"/>
          </w:tcPr>
          <w:p w14:paraId="16874FE3">
            <w:pPr>
              <w:jc w:val="center"/>
              <w:rPr>
                <w:rFonts w:hint="eastAsia" w:ascii="仿宋" w:hAnsi="仿宋" w:eastAsia="仿宋" w:cs="仿宋"/>
                <w:sz w:val="24"/>
                <w:szCs w:val="24"/>
              </w:rPr>
            </w:pPr>
            <w:r>
              <w:rPr>
                <w:rFonts w:hint="eastAsia" w:ascii="仿宋" w:hAnsi="仿宋" w:eastAsia="仿宋" w:cs="仿宋"/>
                <w:sz w:val="24"/>
                <w:szCs w:val="24"/>
              </w:rPr>
              <w:t>第二学期</w:t>
            </w:r>
          </w:p>
        </w:tc>
        <w:tc>
          <w:tcPr>
            <w:tcW w:w="1275" w:type="dxa"/>
            <w:vAlign w:val="center"/>
          </w:tcPr>
          <w:p w14:paraId="7DEEEC32">
            <w:pPr>
              <w:jc w:val="center"/>
              <w:rPr>
                <w:rFonts w:hint="eastAsia" w:ascii="仿宋" w:hAnsi="仿宋" w:eastAsia="仿宋" w:cs="仿宋"/>
                <w:sz w:val="24"/>
                <w:szCs w:val="24"/>
              </w:rPr>
            </w:pPr>
            <w:r>
              <w:rPr>
                <w:rFonts w:hint="eastAsia" w:ascii="仿宋" w:hAnsi="仿宋" w:eastAsia="仿宋" w:cs="仿宋"/>
                <w:sz w:val="24"/>
                <w:szCs w:val="24"/>
              </w:rPr>
              <w:t>考查</w:t>
            </w:r>
          </w:p>
        </w:tc>
        <w:tc>
          <w:tcPr>
            <w:tcW w:w="1383" w:type="dxa"/>
            <w:vAlign w:val="center"/>
          </w:tcPr>
          <w:p w14:paraId="4A457171">
            <w:pPr>
              <w:jc w:val="center"/>
              <w:rPr>
                <w:rFonts w:hint="eastAsia" w:ascii="仿宋" w:hAnsi="仿宋" w:eastAsia="仿宋" w:cs="仿宋"/>
                <w:sz w:val="24"/>
                <w:szCs w:val="24"/>
              </w:rPr>
            </w:pPr>
            <w:r>
              <w:rPr>
                <w:rFonts w:hint="eastAsia" w:ascii="仿宋" w:hAnsi="仿宋" w:eastAsia="仿宋" w:cs="仿宋"/>
                <w:sz w:val="24"/>
                <w:szCs w:val="24"/>
              </w:rPr>
              <w:t>生工</w:t>
            </w:r>
            <w:r>
              <w:rPr>
                <w:rFonts w:hint="eastAsia" w:ascii="仿宋" w:hAnsi="仿宋" w:eastAsia="仿宋" w:cs="仿宋"/>
                <w:sz w:val="24"/>
                <w:szCs w:val="24"/>
                <w:lang w:val="en-US" w:eastAsia="zh-CN"/>
              </w:rPr>
              <w:t>学院、合作企业</w:t>
            </w:r>
          </w:p>
        </w:tc>
      </w:tr>
      <w:tr w14:paraId="20764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vAlign w:val="center"/>
          </w:tcPr>
          <w:p w14:paraId="212955DE">
            <w:pPr>
              <w:jc w:val="center"/>
              <w:rPr>
                <w:rFonts w:hint="eastAsia" w:ascii="仿宋" w:hAnsi="仿宋" w:eastAsia="仿宋" w:cs="仿宋"/>
                <w:sz w:val="24"/>
                <w:szCs w:val="24"/>
              </w:rPr>
            </w:pPr>
            <w:r>
              <w:rPr>
                <w:rFonts w:hint="eastAsia" w:ascii="仿宋" w:hAnsi="仿宋" w:eastAsia="仿宋" w:cs="仿宋"/>
                <w:sz w:val="24"/>
                <w:szCs w:val="24"/>
              </w:rPr>
              <w:t>中药饮片炮制与质量控制</w:t>
            </w:r>
          </w:p>
        </w:tc>
        <w:tc>
          <w:tcPr>
            <w:tcW w:w="788" w:type="dxa"/>
            <w:vAlign w:val="center"/>
          </w:tcPr>
          <w:p w14:paraId="58C6B6D2">
            <w:pPr>
              <w:jc w:val="center"/>
              <w:rPr>
                <w:rFonts w:hint="eastAsia" w:ascii="仿宋" w:hAnsi="仿宋" w:eastAsia="仿宋" w:cs="仿宋"/>
                <w:sz w:val="24"/>
                <w:szCs w:val="24"/>
              </w:rPr>
            </w:pPr>
            <w:r>
              <w:rPr>
                <w:rFonts w:hint="eastAsia" w:ascii="仿宋" w:hAnsi="仿宋" w:eastAsia="仿宋" w:cs="仿宋"/>
                <w:sz w:val="24"/>
                <w:szCs w:val="24"/>
              </w:rPr>
              <w:t>16</w:t>
            </w:r>
          </w:p>
        </w:tc>
        <w:tc>
          <w:tcPr>
            <w:tcW w:w="907" w:type="dxa"/>
            <w:vAlign w:val="center"/>
          </w:tcPr>
          <w:p w14:paraId="326AC49F">
            <w:pPr>
              <w:jc w:val="center"/>
              <w:rPr>
                <w:rFonts w:hint="eastAsia" w:ascii="仿宋" w:hAnsi="仿宋" w:eastAsia="仿宋" w:cs="仿宋"/>
                <w:sz w:val="24"/>
                <w:szCs w:val="24"/>
              </w:rPr>
            </w:pPr>
            <w:r>
              <w:rPr>
                <w:rFonts w:hint="eastAsia" w:ascii="仿宋" w:hAnsi="仿宋" w:eastAsia="仿宋" w:cs="仿宋"/>
                <w:sz w:val="24"/>
                <w:szCs w:val="24"/>
              </w:rPr>
              <w:t>3周</w:t>
            </w:r>
          </w:p>
        </w:tc>
        <w:tc>
          <w:tcPr>
            <w:tcW w:w="862" w:type="dxa"/>
            <w:vAlign w:val="center"/>
          </w:tcPr>
          <w:p w14:paraId="74DF21F3">
            <w:pPr>
              <w:jc w:val="center"/>
              <w:rPr>
                <w:rFonts w:hint="eastAsia" w:ascii="仿宋" w:hAnsi="仿宋" w:eastAsia="仿宋" w:cs="仿宋"/>
                <w:sz w:val="24"/>
                <w:szCs w:val="24"/>
              </w:rPr>
            </w:pPr>
            <w:r>
              <w:rPr>
                <w:rFonts w:hint="eastAsia" w:ascii="仿宋" w:hAnsi="仿宋" w:eastAsia="仿宋" w:cs="仿宋"/>
                <w:sz w:val="24"/>
                <w:szCs w:val="24"/>
              </w:rPr>
              <w:t>1</w:t>
            </w:r>
          </w:p>
        </w:tc>
        <w:tc>
          <w:tcPr>
            <w:tcW w:w="832" w:type="dxa"/>
            <w:vAlign w:val="center"/>
          </w:tcPr>
          <w:p w14:paraId="5234B624">
            <w:pPr>
              <w:jc w:val="center"/>
              <w:rPr>
                <w:rFonts w:hint="eastAsia" w:ascii="仿宋" w:hAnsi="仿宋" w:eastAsia="仿宋" w:cs="仿宋"/>
                <w:sz w:val="24"/>
                <w:szCs w:val="24"/>
              </w:rPr>
            </w:pPr>
            <w:r>
              <w:rPr>
                <w:rFonts w:hint="eastAsia" w:ascii="仿宋" w:hAnsi="仿宋" w:eastAsia="仿宋" w:cs="仿宋"/>
                <w:sz w:val="24"/>
                <w:szCs w:val="24"/>
              </w:rPr>
              <w:t>3</w:t>
            </w:r>
          </w:p>
        </w:tc>
        <w:tc>
          <w:tcPr>
            <w:tcW w:w="1248" w:type="dxa"/>
            <w:vAlign w:val="center"/>
          </w:tcPr>
          <w:p w14:paraId="134622BF">
            <w:pPr>
              <w:jc w:val="center"/>
              <w:rPr>
                <w:rFonts w:hint="eastAsia" w:ascii="仿宋" w:hAnsi="仿宋" w:eastAsia="仿宋" w:cs="仿宋"/>
                <w:sz w:val="24"/>
                <w:szCs w:val="24"/>
              </w:rPr>
            </w:pPr>
            <w:r>
              <w:rPr>
                <w:rFonts w:hint="eastAsia" w:ascii="仿宋" w:hAnsi="仿宋" w:eastAsia="仿宋" w:cs="仿宋"/>
                <w:sz w:val="24"/>
                <w:szCs w:val="24"/>
              </w:rPr>
              <w:t>第二学期</w:t>
            </w:r>
          </w:p>
        </w:tc>
        <w:tc>
          <w:tcPr>
            <w:tcW w:w="1275" w:type="dxa"/>
            <w:vAlign w:val="center"/>
          </w:tcPr>
          <w:p w14:paraId="1DB5800C">
            <w:pPr>
              <w:jc w:val="center"/>
              <w:rPr>
                <w:rFonts w:hint="eastAsia" w:ascii="仿宋" w:hAnsi="仿宋" w:eastAsia="仿宋" w:cs="仿宋"/>
                <w:sz w:val="24"/>
                <w:szCs w:val="24"/>
              </w:rPr>
            </w:pPr>
            <w:r>
              <w:rPr>
                <w:rFonts w:hint="eastAsia" w:ascii="仿宋" w:hAnsi="仿宋" w:eastAsia="仿宋" w:cs="仿宋"/>
                <w:sz w:val="24"/>
                <w:szCs w:val="24"/>
              </w:rPr>
              <w:t>考查</w:t>
            </w:r>
          </w:p>
        </w:tc>
        <w:tc>
          <w:tcPr>
            <w:tcW w:w="1383" w:type="dxa"/>
            <w:vAlign w:val="center"/>
          </w:tcPr>
          <w:p w14:paraId="33852BDF">
            <w:pPr>
              <w:jc w:val="center"/>
              <w:rPr>
                <w:rFonts w:hint="eastAsia" w:ascii="仿宋" w:hAnsi="仿宋" w:eastAsia="仿宋" w:cs="仿宋"/>
                <w:sz w:val="24"/>
                <w:szCs w:val="24"/>
              </w:rPr>
            </w:pPr>
            <w:r>
              <w:rPr>
                <w:rFonts w:hint="eastAsia" w:ascii="仿宋" w:hAnsi="仿宋" w:eastAsia="仿宋" w:cs="仿宋"/>
                <w:sz w:val="24"/>
                <w:szCs w:val="24"/>
              </w:rPr>
              <w:t>生工</w:t>
            </w:r>
            <w:r>
              <w:rPr>
                <w:rFonts w:hint="eastAsia" w:ascii="仿宋" w:hAnsi="仿宋" w:eastAsia="仿宋" w:cs="仿宋"/>
                <w:sz w:val="24"/>
                <w:szCs w:val="24"/>
                <w:lang w:val="en-US" w:eastAsia="zh-CN"/>
              </w:rPr>
              <w:t>学院、合作企业</w:t>
            </w:r>
          </w:p>
        </w:tc>
      </w:tr>
      <w:tr w14:paraId="29961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vAlign w:val="center"/>
          </w:tcPr>
          <w:p w14:paraId="1F80808C">
            <w:pPr>
              <w:jc w:val="center"/>
              <w:rPr>
                <w:rFonts w:hint="eastAsia" w:ascii="仿宋" w:hAnsi="仿宋" w:eastAsia="仿宋" w:cs="仿宋"/>
                <w:sz w:val="24"/>
                <w:szCs w:val="24"/>
              </w:rPr>
            </w:pPr>
            <w:r>
              <w:rPr>
                <w:rFonts w:hint="eastAsia" w:ascii="仿宋" w:hAnsi="仿宋" w:eastAsia="仿宋" w:cs="仿宋"/>
                <w:sz w:val="24"/>
                <w:szCs w:val="24"/>
              </w:rPr>
              <w:t>现代中药生产与管理</w:t>
            </w:r>
          </w:p>
        </w:tc>
        <w:tc>
          <w:tcPr>
            <w:tcW w:w="788" w:type="dxa"/>
            <w:vAlign w:val="center"/>
          </w:tcPr>
          <w:p w14:paraId="2F54B008">
            <w:pPr>
              <w:jc w:val="center"/>
              <w:rPr>
                <w:rFonts w:hint="eastAsia" w:ascii="仿宋" w:hAnsi="仿宋" w:eastAsia="仿宋" w:cs="仿宋"/>
                <w:sz w:val="24"/>
                <w:szCs w:val="24"/>
              </w:rPr>
            </w:pPr>
          </w:p>
        </w:tc>
        <w:tc>
          <w:tcPr>
            <w:tcW w:w="907" w:type="dxa"/>
            <w:vAlign w:val="center"/>
          </w:tcPr>
          <w:p w14:paraId="1A53E94F">
            <w:pPr>
              <w:jc w:val="center"/>
              <w:rPr>
                <w:rFonts w:hint="eastAsia" w:ascii="仿宋" w:hAnsi="仿宋" w:eastAsia="仿宋" w:cs="仿宋"/>
                <w:sz w:val="24"/>
                <w:szCs w:val="24"/>
              </w:rPr>
            </w:pPr>
            <w:r>
              <w:rPr>
                <w:rFonts w:hint="eastAsia" w:ascii="仿宋" w:hAnsi="仿宋" w:eastAsia="仿宋" w:cs="仿宋"/>
                <w:sz w:val="24"/>
                <w:szCs w:val="24"/>
              </w:rPr>
              <w:t>4周</w:t>
            </w:r>
          </w:p>
        </w:tc>
        <w:tc>
          <w:tcPr>
            <w:tcW w:w="862" w:type="dxa"/>
            <w:vAlign w:val="center"/>
          </w:tcPr>
          <w:p w14:paraId="7CF4E6EF">
            <w:pPr>
              <w:jc w:val="center"/>
              <w:rPr>
                <w:rFonts w:hint="eastAsia" w:ascii="仿宋" w:hAnsi="仿宋" w:eastAsia="仿宋" w:cs="仿宋"/>
                <w:sz w:val="24"/>
                <w:szCs w:val="24"/>
              </w:rPr>
            </w:pPr>
          </w:p>
        </w:tc>
        <w:tc>
          <w:tcPr>
            <w:tcW w:w="832" w:type="dxa"/>
            <w:vAlign w:val="center"/>
          </w:tcPr>
          <w:p w14:paraId="648D6B19">
            <w:pPr>
              <w:jc w:val="center"/>
              <w:rPr>
                <w:rFonts w:hint="eastAsia" w:ascii="仿宋" w:hAnsi="仿宋" w:eastAsia="仿宋" w:cs="仿宋"/>
                <w:sz w:val="24"/>
                <w:szCs w:val="24"/>
              </w:rPr>
            </w:pPr>
            <w:r>
              <w:rPr>
                <w:rFonts w:hint="eastAsia" w:ascii="仿宋" w:hAnsi="仿宋" w:eastAsia="仿宋" w:cs="仿宋"/>
                <w:sz w:val="24"/>
                <w:szCs w:val="24"/>
              </w:rPr>
              <w:t>4</w:t>
            </w:r>
          </w:p>
        </w:tc>
        <w:tc>
          <w:tcPr>
            <w:tcW w:w="1248" w:type="dxa"/>
            <w:vAlign w:val="center"/>
          </w:tcPr>
          <w:p w14:paraId="4CA7006E">
            <w:pPr>
              <w:jc w:val="center"/>
              <w:rPr>
                <w:rFonts w:hint="eastAsia" w:ascii="仿宋" w:hAnsi="仿宋" w:eastAsia="仿宋" w:cs="仿宋"/>
                <w:sz w:val="24"/>
                <w:szCs w:val="24"/>
              </w:rPr>
            </w:pPr>
            <w:r>
              <w:rPr>
                <w:rFonts w:hint="eastAsia" w:ascii="仿宋" w:hAnsi="仿宋" w:eastAsia="仿宋" w:cs="仿宋"/>
                <w:sz w:val="24"/>
                <w:szCs w:val="24"/>
              </w:rPr>
              <w:t>第三学期</w:t>
            </w:r>
          </w:p>
        </w:tc>
        <w:tc>
          <w:tcPr>
            <w:tcW w:w="1275" w:type="dxa"/>
            <w:vAlign w:val="center"/>
          </w:tcPr>
          <w:p w14:paraId="6C1B7C41">
            <w:pPr>
              <w:jc w:val="center"/>
              <w:rPr>
                <w:rFonts w:hint="eastAsia" w:ascii="仿宋" w:hAnsi="仿宋" w:eastAsia="仿宋" w:cs="仿宋"/>
                <w:sz w:val="24"/>
                <w:szCs w:val="24"/>
              </w:rPr>
            </w:pPr>
            <w:r>
              <w:rPr>
                <w:rFonts w:hint="eastAsia" w:ascii="仿宋" w:hAnsi="仿宋" w:eastAsia="仿宋" w:cs="仿宋"/>
                <w:sz w:val="24"/>
                <w:szCs w:val="24"/>
              </w:rPr>
              <w:t>考查</w:t>
            </w:r>
          </w:p>
        </w:tc>
        <w:tc>
          <w:tcPr>
            <w:tcW w:w="1383" w:type="dxa"/>
            <w:vAlign w:val="center"/>
          </w:tcPr>
          <w:p w14:paraId="02A07FE7">
            <w:pPr>
              <w:jc w:val="center"/>
              <w:rPr>
                <w:rFonts w:hint="eastAsia" w:ascii="仿宋" w:hAnsi="仿宋" w:eastAsia="仿宋" w:cs="仿宋"/>
                <w:sz w:val="24"/>
                <w:szCs w:val="24"/>
              </w:rPr>
            </w:pPr>
            <w:r>
              <w:rPr>
                <w:rFonts w:hint="eastAsia" w:ascii="仿宋" w:hAnsi="仿宋" w:eastAsia="仿宋" w:cs="仿宋"/>
                <w:sz w:val="24"/>
                <w:szCs w:val="24"/>
              </w:rPr>
              <w:t>生工</w:t>
            </w:r>
            <w:r>
              <w:rPr>
                <w:rFonts w:hint="eastAsia" w:ascii="仿宋" w:hAnsi="仿宋" w:eastAsia="仿宋" w:cs="仿宋"/>
                <w:sz w:val="24"/>
                <w:szCs w:val="24"/>
                <w:lang w:val="en-US" w:eastAsia="zh-CN"/>
              </w:rPr>
              <w:t>学院、合作企业</w:t>
            </w:r>
          </w:p>
        </w:tc>
      </w:tr>
    </w:tbl>
    <w:p w14:paraId="4C8C6B43">
      <w:pPr>
        <w:ind w:firstLine="640" w:firstLineChars="200"/>
        <w:rPr>
          <w:rFonts w:ascii="仿宋" w:hAnsi="仿宋" w:eastAsia="仿宋"/>
          <w:sz w:val="32"/>
          <w:szCs w:val="32"/>
        </w:rPr>
      </w:pPr>
      <w:r>
        <w:rPr>
          <w:rFonts w:hint="eastAsia" w:ascii="仿宋" w:hAnsi="仿宋" w:eastAsia="仿宋"/>
          <w:sz w:val="32"/>
          <w:szCs w:val="32"/>
        </w:rPr>
        <w:t>六、课程简介</w:t>
      </w:r>
    </w:p>
    <w:p w14:paraId="082E5CC6">
      <w:pPr>
        <w:pStyle w:val="11"/>
        <w:ind w:firstLine="640"/>
        <w:rPr>
          <w:rFonts w:ascii="仿宋" w:hAnsi="仿宋" w:eastAsia="仿宋" w:cs="宋体"/>
          <w:sz w:val="32"/>
          <w:szCs w:val="32"/>
        </w:rPr>
      </w:pPr>
      <w:r>
        <w:rPr>
          <w:rFonts w:hint="eastAsia" w:ascii="仿宋" w:hAnsi="仿宋" w:eastAsia="仿宋" w:cs="宋体"/>
          <w:sz w:val="32"/>
          <w:szCs w:val="32"/>
        </w:rPr>
        <w:t>1</w:t>
      </w:r>
      <w:r>
        <w:rPr>
          <w:rFonts w:ascii="仿宋" w:hAnsi="仿宋" w:eastAsia="仿宋" w:cs="宋体"/>
          <w:sz w:val="32"/>
          <w:szCs w:val="32"/>
        </w:rPr>
        <w:t>.</w:t>
      </w:r>
      <w:r>
        <w:rPr>
          <w:rFonts w:hint="eastAsia" w:ascii="仿宋" w:hAnsi="仿宋" w:eastAsia="仿宋" w:cs="宋体"/>
          <w:sz w:val="32"/>
          <w:szCs w:val="32"/>
        </w:rPr>
        <w:t>《</w:t>
      </w:r>
      <w:r>
        <w:rPr>
          <w:rFonts w:hint="eastAsia" w:ascii="仿宋" w:hAnsi="仿宋" w:eastAsia="仿宋" w:cs="宋体"/>
          <w:sz w:val="32"/>
          <w:szCs w:val="32"/>
          <w:shd w:val="clear" w:color="auto" w:fill="FFFFFF"/>
        </w:rPr>
        <w:t>中药新药研究与健康产品开发</w:t>
      </w:r>
      <w:r>
        <w:rPr>
          <w:rFonts w:hint="eastAsia" w:ascii="仿宋" w:hAnsi="仿宋" w:eastAsia="仿宋" w:cs="宋体"/>
          <w:sz w:val="32"/>
          <w:szCs w:val="32"/>
        </w:rPr>
        <w:t>》涉及中药新药、特医食品、保健食品的研究与开发，以及专利的申请与保护等内容。培养学生分析问题、解决问题及自学新知识的能力，在教学中注重培养学生对中药理论知识和实践知识融会贯通的能力。课程总共32个学时，主要采用理论授课的方式。</w:t>
      </w:r>
    </w:p>
    <w:p w14:paraId="03E8FC9E">
      <w:pPr>
        <w:pStyle w:val="11"/>
        <w:ind w:firstLine="640"/>
        <w:rPr>
          <w:rFonts w:ascii="仿宋" w:hAnsi="仿宋" w:eastAsia="仿宋" w:cs="宋体"/>
          <w:sz w:val="32"/>
          <w:szCs w:val="32"/>
        </w:rPr>
      </w:pPr>
      <w:r>
        <w:rPr>
          <w:rFonts w:hint="eastAsia" w:ascii="仿宋" w:hAnsi="仿宋" w:eastAsia="仿宋" w:cs="宋体"/>
          <w:sz w:val="32"/>
          <w:szCs w:val="32"/>
        </w:rPr>
        <w:t>2</w:t>
      </w:r>
      <w:r>
        <w:rPr>
          <w:rFonts w:ascii="仿宋" w:hAnsi="仿宋" w:eastAsia="仿宋" w:cs="宋体"/>
          <w:sz w:val="32"/>
          <w:szCs w:val="32"/>
        </w:rPr>
        <w:t>.</w:t>
      </w:r>
      <w:r>
        <w:rPr>
          <w:rFonts w:hint="eastAsia" w:ascii="仿宋" w:hAnsi="仿宋" w:eastAsia="仿宋" w:cs="宋体"/>
          <w:sz w:val="32"/>
          <w:szCs w:val="32"/>
        </w:rPr>
        <w:t>《中药文化与健康》以中国传统中药文化为根基，中医经典为依据，旨在推广中药文化与健康理念。内容包括中药养生与我们的生活、传统文化，介绍中药养生的具体方法及其应用。通过本课程，学生能够感受中药文化的独特魅力，提升文化素养，增强文化自信。课程总共32个学时，主要采用理论授课方式。</w:t>
      </w:r>
    </w:p>
    <w:p w14:paraId="1D7592E6">
      <w:pPr>
        <w:pStyle w:val="11"/>
        <w:ind w:firstLine="640"/>
        <w:rPr>
          <w:rFonts w:ascii="仿宋" w:hAnsi="仿宋" w:eastAsia="仿宋" w:cs="宋体"/>
          <w:sz w:val="32"/>
          <w:szCs w:val="32"/>
        </w:rPr>
      </w:pPr>
      <w:r>
        <w:rPr>
          <w:rStyle w:val="9"/>
          <w:rFonts w:hint="eastAsia" w:ascii="仿宋" w:hAnsi="仿宋" w:eastAsia="仿宋" w:cs="宋体"/>
          <w:b w:val="0"/>
          <w:sz w:val="32"/>
          <w:szCs w:val="32"/>
        </w:rPr>
        <w:t>3</w:t>
      </w:r>
      <w:r>
        <w:rPr>
          <w:rStyle w:val="9"/>
          <w:rFonts w:ascii="仿宋" w:hAnsi="仿宋" w:eastAsia="仿宋" w:cs="宋体"/>
          <w:b w:val="0"/>
          <w:sz w:val="32"/>
          <w:szCs w:val="32"/>
        </w:rPr>
        <w:t>.</w:t>
      </w:r>
      <w:r>
        <w:rPr>
          <w:rStyle w:val="9"/>
          <w:rFonts w:hint="eastAsia" w:ascii="仿宋" w:hAnsi="仿宋" w:eastAsia="仿宋" w:cs="宋体"/>
          <w:b w:val="0"/>
          <w:sz w:val="32"/>
          <w:szCs w:val="32"/>
        </w:rPr>
        <w:t>《</w:t>
      </w:r>
      <w:r>
        <w:rPr>
          <w:rFonts w:hint="eastAsia" w:ascii="仿宋" w:hAnsi="仿宋" w:eastAsia="仿宋" w:cs="宋体"/>
          <w:sz w:val="32"/>
          <w:szCs w:val="32"/>
        </w:rPr>
        <w:t>中药栽培技术</w:t>
      </w:r>
      <w:r>
        <w:rPr>
          <w:rStyle w:val="9"/>
          <w:rFonts w:hint="eastAsia" w:ascii="仿宋" w:hAnsi="仿宋" w:eastAsia="仿宋" w:cs="宋体"/>
          <w:b w:val="0"/>
          <w:sz w:val="32"/>
          <w:szCs w:val="32"/>
        </w:rPr>
        <w:t>》涉及</w:t>
      </w:r>
      <w:r>
        <w:rPr>
          <w:rFonts w:hint="eastAsia" w:ascii="仿宋" w:hAnsi="仿宋" w:eastAsia="仿宋" w:cs="宋体"/>
          <w:sz w:val="32"/>
          <w:szCs w:val="32"/>
        </w:rPr>
        <w:t>中草药的种植技术、繁殖方法、田间管理、</w:t>
      </w:r>
      <w:r>
        <w:fldChar w:fldCharType="begin"/>
      </w:r>
      <w:r>
        <w:instrText xml:space="preserve"> HYPERLINK "http://www.baidu.com/s?sa=re_dqa_generate&amp;wd=%E4%B8%AD%E8%8D%89%E8%8D%AF%E7%97%85%E8%99%AB%E5%AE%B3%E9%98%B2%E6%B2%BB%E6%8A%80%E6%9C%AF&amp;rsv_pq=9120c67900067e9f&amp;oq=%E4%B8%AD%E8%8D%AF%E6%A0%BD%E5%9F%B9%E6%8A%80%E6%9C%AF%E8%AF%BE%E7%A8%8B%E4%BB%8B%E7%BB%8D&amp;rsv_t=083c34Q2IAZpEJdSzETgBe4RisnVUTUYJsTGuihZ/59Aqjb2w3FSnsc8qBT71/e4i193shU&amp;tn=34046034_10_dg&amp;ie=utf-8" \t "http://www.baidu.com/_blank" </w:instrText>
      </w:r>
      <w:r>
        <w:fldChar w:fldCharType="separate"/>
      </w:r>
      <w:r>
        <w:rPr>
          <w:rStyle w:val="10"/>
          <w:rFonts w:hint="eastAsia" w:ascii="仿宋" w:hAnsi="仿宋" w:eastAsia="仿宋" w:cs="宋体"/>
          <w:color w:val="auto"/>
          <w:sz w:val="32"/>
          <w:szCs w:val="32"/>
          <w:u w:val="none"/>
        </w:rPr>
        <w:t>中草药病虫害防治技术</w:t>
      </w:r>
      <w:r>
        <w:rPr>
          <w:rStyle w:val="10"/>
          <w:rFonts w:hint="eastAsia" w:ascii="仿宋" w:hAnsi="仿宋" w:eastAsia="仿宋" w:cs="宋体"/>
          <w:color w:val="auto"/>
          <w:sz w:val="32"/>
          <w:szCs w:val="32"/>
          <w:u w:val="none"/>
        </w:rPr>
        <w:fldChar w:fldCharType="end"/>
      </w:r>
      <w:r>
        <w:rPr>
          <w:rFonts w:hint="eastAsia" w:ascii="仿宋" w:hAnsi="仿宋" w:eastAsia="仿宋" w:cs="宋体"/>
          <w:sz w:val="32"/>
          <w:szCs w:val="32"/>
        </w:rPr>
        <w:t>等内容。</w:t>
      </w:r>
      <w:r>
        <w:rPr>
          <w:rFonts w:hint="eastAsia" w:ascii="MS Mincho" w:hAnsi="MS Mincho" w:eastAsia="MS Mincho" w:cs="MS Mincho"/>
          <w:sz w:val="32"/>
          <w:szCs w:val="32"/>
        </w:rPr>
        <w:t>‌</w:t>
      </w:r>
      <w:r>
        <w:rPr>
          <w:rFonts w:hint="eastAsia" w:ascii="仿宋" w:hAnsi="仿宋" w:eastAsia="仿宋" w:cs="仿宋"/>
          <w:sz w:val="32"/>
          <w:szCs w:val="32"/>
        </w:rPr>
        <w:t>课程旨在培养学生掌握学生将能够掌握中草药种植的基本知识和技能，解决中草药生长过程中的病虫害问题，为将来从事中草药种植、育种、销售与管理等工作打下坚实的基础。课程包括</w:t>
      </w:r>
      <w:r>
        <w:rPr>
          <w:rFonts w:hint="eastAsia" w:ascii="仿宋" w:hAnsi="仿宋" w:eastAsia="仿宋" w:cs="宋体"/>
          <w:sz w:val="32"/>
          <w:szCs w:val="32"/>
        </w:rPr>
        <w:t>16个学时的理论课程和2周的实践环节。</w:t>
      </w:r>
    </w:p>
    <w:p w14:paraId="2C5A0A62">
      <w:pPr>
        <w:pStyle w:val="11"/>
        <w:ind w:firstLine="640"/>
        <w:rPr>
          <w:rFonts w:ascii="仿宋" w:hAnsi="仿宋" w:eastAsia="仿宋" w:cs="宋体"/>
          <w:sz w:val="32"/>
          <w:szCs w:val="32"/>
        </w:rPr>
      </w:pPr>
      <w:r>
        <w:rPr>
          <w:rFonts w:hint="eastAsia" w:ascii="仿宋" w:hAnsi="仿宋" w:eastAsia="仿宋" w:cs="宋体"/>
          <w:sz w:val="32"/>
          <w:szCs w:val="32"/>
        </w:rPr>
        <w:t>4</w:t>
      </w:r>
      <w:r>
        <w:rPr>
          <w:rFonts w:ascii="仿宋" w:hAnsi="仿宋" w:eastAsia="仿宋" w:cs="宋体"/>
          <w:sz w:val="32"/>
          <w:szCs w:val="32"/>
        </w:rPr>
        <w:t>.</w:t>
      </w:r>
      <w:r>
        <w:rPr>
          <w:rFonts w:hint="eastAsia" w:ascii="仿宋" w:hAnsi="仿宋" w:eastAsia="仿宋" w:cs="宋体"/>
          <w:sz w:val="32"/>
          <w:szCs w:val="32"/>
        </w:rPr>
        <w:t>《中药饮片炮制与质量控制》是研究中药饮片炮制理论、工艺、规格、质量标准、历史沿革及其发展方向的课程。介绍中药炮制的起源与发展、临床疗效、基本理论、中药炮制的目的及对药物的影响、中药炮制的分类、中药炮制常用辅料、中药饮片的包装贮藏与质量控制等。通过学习，掌握中药饮片炮制与质量控制基本理论，基本知识和基本技能，为从事中药的炮制、生产加工、真伪鉴别、质量评价和开发应用打下基础，以保障临床用药的安全有效。课程包括16个学时的理论课程和3周的实践环节。</w:t>
      </w:r>
    </w:p>
    <w:p w14:paraId="2888D121">
      <w:pPr>
        <w:pStyle w:val="11"/>
        <w:ind w:firstLine="640"/>
        <w:rPr>
          <w:rFonts w:ascii="仿宋" w:hAnsi="仿宋" w:eastAsia="仿宋"/>
          <w:sz w:val="32"/>
          <w:szCs w:val="32"/>
        </w:rPr>
      </w:pPr>
      <w:r>
        <w:rPr>
          <w:rFonts w:hint="eastAsia" w:ascii="仿宋" w:hAnsi="仿宋" w:eastAsia="仿宋" w:cs="宋体"/>
          <w:sz w:val="32"/>
          <w:szCs w:val="32"/>
        </w:rPr>
        <w:t>5</w:t>
      </w:r>
      <w:r>
        <w:rPr>
          <w:rFonts w:ascii="仿宋" w:hAnsi="仿宋" w:eastAsia="仿宋" w:cs="宋体"/>
          <w:sz w:val="32"/>
          <w:szCs w:val="32"/>
        </w:rPr>
        <w:t>.</w:t>
      </w:r>
      <w:r>
        <w:rPr>
          <w:rFonts w:hint="eastAsia" w:ascii="仿宋" w:hAnsi="仿宋" w:eastAsia="仿宋" w:cs="宋体"/>
          <w:sz w:val="32"/>
          <w:szCs w:val="32"/>
        </w:rPr>
        <w:t>《现代中药生产与管理》是一门实践课程，主要在本地医药企业完成，通过进车间直接参与中药产品的生产的，了解药品的生产过程及管理方式。</w:t>
      </w:r>
      <w:r>
        <w:rPr>
          <w:rFonts w:hint="eastAsia" w:ascii="仿宋" w:hAnsi="仿宋" w:eastAsia="仿宋" w:cs="宋体"/>
          <w:sz w:val="32"/>
          <w:szCs w:val="32"/>
          <w:lang w:bidi="ar"/>
        </w:rPr>
        <w:t>本课程重点围绕机构与人员、设备、物料与产品、文件管理、生产管理内容，系统介绍GMP原则的实施及其措施。树立在药品生产质量过程中具备质量意识和合规意识，</w:t>
      </w:r>
      <w:r>
        <w:rPr>
          <w:rFonts w:hint="eastAsia" w:ascii="仿宋" w:hAnsi="仿宋" w:eastAsia="仿宋" w:cs="宋体"/>
          <w:sz w:val="32"/>
          <w:szCs w:val="32"/>
        </w:rPr>
        <w:t>培养学生独立工作与解决问题的能力，</w:t>
      </w:r>
      <w:r>
        <w:rPr>
          <w:rFonts w:hint="eastAsia" w:ascii="仿宋" w:hAnsi="仿宋" w:eastAsia="仿宋" w:cs="宋体"/>
          <w:sz w:val="32"/>
          <w:szCs w:val="32"/>
          <w:lang w:bidi="ar"/>
        </w:rPr>
        <w:t>是连接学校与生产企业的桥梁和纽带，</w:t>
      </w:r>
      <w:r>
        <w:rPr>
          <w:rFonts w:hint="eastAsia" w:ascii="仿宋" w:hAnsi="仿宋" w:eastAsia="仿宋" w:cs="宋体"/>
          <w:sz w:val="32"/>
          <w:szCs w:val="32"/>
        </w:rPr>
        <w:t>为学生未来的职业发展提供强有力的支持。课程主要通过实践环节完成。</w:t>
      </w:r>
    </w:p>
    <w:p w14:paraId="1D1D52E3">
      <w:pPr>
        <w:ind w:firstLine="640" w:firstLineChars="200"/>
        <w:rPr>
          <w:rFonts w:ascii="仿宋" w:hAnsi="仿宋" w:eastAsia="仿宋"/>
          <w:sz w:val="32"/>
          <w:szCs w:val="32"/>
        </w:rPr>
      </w:pPr>
      <w:r>
        <w:rPr>
          <w:rFonts w:hint="eastAsia" w:ascii="仿宋" w:hAnsi="仿宋" w:eastAsia="仿宋"/>
          <w:sz w:val="32"/>
          <w:szCs w:val="32"/>
        </w:rPr>
        <w:t>七、</w:t>
      </w:r>
      <w:r>
        <w:rPr>
          <w:rFonts w:ascii="仿宋" w:hAnsi="仿宋" w:eastAsia="仿宋"/>
          <w:sz w:val="32"/>
          <w:szCs w:val="32"/>
        </w:rPr>
        <w:t>上课时间</w:t>
      </w:r>
    </w:p>
    <w:p w14:paraId="23246C70">
      <w:pPr>
        <w:ind w:firstLine="640" w:firstLineChars="200"/>
        <w:rPr>
          <w:rFonts w:ascii="仿宋" w:hAnsi="仿宋" w:eastAsia="仿宋"/>
          <w:sz w:val="32"/>
          <w:szCs w:val="32"/>
        </w:rPr>
      </w:pPr>
      <w:r>
        <w:rPr>
          <w:rFonts w:hint="eastAsia" w:ascii="仿宋" w:hAnsi="仿宋" w:eastAsia="仿宋"/>
          <w:sz w:val="32"/>
          <w:szCs w:val="32"/>
        </w:rPr>
        <w:t>根据学生的具体情况，一般安排在晚上或周末开课。</w:t>
      </w:r>
    </w:p>
    <w:p w14:paraId="05E7D240">
      <w:pPr>
        <w:ind w:firstLine="640" w:firstLineChars="200"/>
        <w:rPr>
          <w:rFonts w:ascii="仿宋" w:hAnsi="仿宋" w:eastAsia="仿宋"/>
          <w:sz w:val="32"/>
          <w:szCs w:val="32"/>
        </w:rPr>
      </w:pPr>
      <w:r>
        <w:rPr>
          <w:rFonts w:hint="eastAsia" w:ascii="仿宋" w:hAnsi="仿宋" w:eastAsia="仿宋"/>
          <w:sz w:val="32"/>
          <w:szCs w:val="32"/>
        </w:rPr>
        <w:t>八、</w:t>
      </w:r>
      <w:r>
        <w:rPr>
          <w:rFonts w:ascii="仿宋" w:hAnsi="仿宋" w:eastAsia="仿宋"/>
          <w:sz w:val="32"/>
          <w:szCs w:val="32"/>
        </w:rPr>
        <w:t>报名时间与方式</w:t>
      </w:r>
    </w:p>
    <w:p w14:paraId="48FBDE38">
      <w:pPr>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.202</w:t>
      </w:r>
      <w:r>
        <w:rPr>
          <w:rFonts w:hint="eastAsia" w:ascii="仿宋" w:hAnsi="仿宋" w:eastAsia="仿宋"/>
          <w:sz w:val="32"/>
          <w:szCs w:val="32"/>
          <w:lang w:val="en-US" w:eastAsia="zh-CN"/>
        </w:rPr>
        <w:t>5</w:t>
      </w:r>
      <w:r>
        <w:rPr>
          <w:rFonts w:hint="eastAsia" w:ascii="仿宋" w:hAnsi="仿宋" w:eastAsia="仿宋"/>
          <w:sz w:val="32"/>
          <w:szCs w:val="32"/>
        </w:rPr>
        <w:t>年现代制药与健康微专业计划招生</w:t>
      </w:r>
      <w:r>
        <w:rPr>
          <w:rFonts w:hint="eastAsia" w:ascii="仿宋" w:hAnsi="仿宋" w:eastAsia="仿宋"/>
          <w:sz w:val="32"/>
          <w:szCs w:val="32"/>
          <w:lang w:val="en-US" w:eastAsia="zh-CN"/>
        </w:rPr>
        <w:t>20</w:t>
      </w:r>
      <w:r>
        <w:rPr>
          <w:rFonts w:hint="eastAsia" w:ascii="仿宋" w:hAnsi="仿宋" w:eastAsia="仿宋"/>
          <w:sz w:val="32"/>
          <w:szCs w:val="32"/>
        </w:rPr>
        <w:t>人。</w:t>
      </w:r>
    </w:p>
    <w:p w14:paraId="72F66016">
      <w:pPr>
        <w:ind w:firstLine="640" w:firstLineChars="200"/>
        <w:rPr>
          <w:rFonts w:ascii="仿宋" w:hAnsi="仿宋" w:eastAsia="仿宋"/>
          <w:sz w:val="32"/>
          <w:szCs w:val="32"/>
        </w:rPr>
      </w:pPr>
      <w:r>
        <w:rPr>
          <w:rFonts w:ascii="仿宋" w:hAnsi="仿宋" w:eastAsia="仿宋"/>
          <w:sz w:val="32"/>
          <w:szCs w:val="32"/>
        </w:rPr>
        <w:t>2.</w:t>
      </w:r>
      <w:r>
        <w:rPr>
          <w:rFonts w:ascii="仿宋" w:hAnsi="仿宋" w:eastAsia="仿宋" w:cs="宋体"/>
          <w:color w:val="00000A"/>
          <w:kern w:val="0"/>
          <w:sz w:val="32"/>
          <w:szCs w:val="32"/>
        </w:rPr>
        <w:t>9</w:t>
      </w:r>
      <w:r>
        <w:rPr>
          <w:rFonts w:hint="eastAsia" w:ascii="仿宋" w:hAnsi="仿宋" w:eastAsia="仿宋" w:cs="宋体"/>
          <w:color w:val="00000A"/>
          <w:kern w:val="0"/>
          <w:sz w:val="32"/>
          <w:szCs w:val="32"/>
        </w:rPr>
        <w:t>月</w:t>
      </w:r>
      <w:r>
        <w:rPr>
          <w:rFonts w:hint="eastAsia" w:ascii="仿宋" w:hAnsi="仿宋" w:eastAsia="仿宋" w:cs="宋体"/>
          <w:color w:val="00000A"/>
          <w:kern w:val="0"/>
          <w:sz w:val="32"/>
          <w:szCs w:val="32"/>
          <w:lang w:val="en-US" w:eastAsia="zh-CN"/>
        </w:rPr>
        <w:t>24</w:t>
      </w:r>
      <w:bookmarkStart w:id="0" w:name="_GoBack"/>
      <w:bookmarkEnd w:id="0"/>
      <w:r>
        <w:rPr>
          <w:rFonts w:hint="eastAsia" w:ascii="仿宋" w:hAnsi="仿宋" w:eastAsia="仿宋" w:cs="宋体"/>
          <w:color w:val="00000A"/>
          <w:kern w:val="0"/>
          <w:sz w:val="32"/>
          <w:szCs w:val="32"/>
        </w:rPr>
        <w:t>日至</w:t>
      </w:r>
      <w:r>
        <w:rPr>
          <w:rFonts w:hint="eastAsia" w:ascii="仿宋" w:hAnsi="仿宋" w:eastAsia="仿宋" w:cs="宋体"/>
          <w:color w:val="00000A"/>
          <w:kern w:val="0"/>
          <w:sz w:val="32"/>
          <w:szCs w:val="32"/>
          <w:lang w:val="en-US" w:eastAsia="zh-CN"/>
        </w:rPr>
        <w:t>10</w:t>
      </w:r>
      <w:r>
        <w:rPr>
          <w:rFonts w:hint="eastAsia" w:ascii="仿宋" w:hAnsi="仿宋" w:eastAsia="仿宋" w:cs="宋体"/>
          <w:color w:val="00000A"/>
          <w:kern w:val="0"/>
          <w:sz w:val="32"/>
          <w:szCs w:val="32"/>
        </w:rPr>
        <w:t>月</w:t>
      </w:r>
      <w:r>
        <w:rPr>
          <w:rFonts w:hint="eastAsia" w:ascii="仿宋" w:hAnsi="仿宋" w:eastAsia="仿宋" w:cs="宋体"/>
          <w:color w:val="00000A"/>
          <w:kern w:val="0"/>
          <w:sz w:val="32"/>
          <w:szCs w:val="32"/>
          <w:lang w:val="en-US" w:eastAsia="zh-CN"/>
        </w:rPr>
        <w:t>17</w:t>
      </w:r>
      <w:r>
        <w:rPr>
          <w:rFonts w:hint="eastAsia" w:ascii="仿宋" w:hAnsi="仿宋" w:eastAsia="仿宋" w:cs="宋体"/>
          <w:color w:val="00000A"/>
          <w:kern w:val="0"/>
          <w:sz w:val="32"/>
          <w:szCs w:val="32"/>
        </w:rPr>
        <w:t>日报名，</w:t>
      </w:r>
      <w:r>
        <w:rPr>
          <w:rFonts w:hint="eastAsia" w:ascii="仿宋" w:hAnsi="仿宋" w:eastAsia="仿宋" w:cs="宋体"/>
          <w:sz w:val="32"/>
          <w:szCs w:val="32"/>
        </w:rPr>
        <w:t>有意向在毕业后直接留在当地从事医药健康行业工作的同学优先录取，</w:t>
      </w:r>
      <w:r>
        <w:rPr>
          <w:rFonts w:hint="eastAsia" w:ascii="仿宋" w:hAnsi="仿宋" w:eastAsia="仿宋" w:cs="宋体"/>
          <w:sz w:val="32"/>
          <w:szCs w:val="32"/>
          <w:lang w:bidi="ar"/>
        </w:rPr>
        <w:t>具体根据报名人数及</w:t>
      </w:r>
      <w:r>
        <w:rPr>
          <w:rFonts w:hint="eastAsia" w:ascii="仿宋" w:hAnsi="仿宋" w:eastAsia="仿宋" w:cs="宋体"/>
          <w:sz w:val="32"/>
          <w:szCs w:val="32"/>
        </w:rPr>
        <w:t>面试情况择优录取。</w:t>
      </w:r>
    </w:p>
    <w:p w14:paraId="0F7A25AF">
      <w:pPr>
        <w:ind w:firstLine="640" w:firstLineChars="200"/>
        <w:rPr>
          <w:rFonts w:ascii="仿宋" w:hAnsi="仿宋" w:eastAsia="仿宋" w:cs="宋体"/>
          <w:sz w:val="32"/>
          <w:szCs w:val="32"/>
        </w:rPr>
      </w:pPr>
      <w:r>
        <w:rPr>
          <w:rFonts w:hint="eastAsia" w:ascii="仿宋" w:hAnsi="仿宋" w:eastAsia="仿宋" w:cs="宋体"/>
          <w:sz w:val="32"/>
          <w:szCs w:val="32"/>
        </w:rPr>
        <w:t>有报名意向者请加入QQ群咨询，具体报名安排在群内通知。</w:t>
      </w:r>
    </w:p>
    <w:p w14:paraId="52B3219A">
      <w:pPr>
        <w:ind w:firstLine="640" w:firstLineChars="200"/>
        <w:rPr>
          <w:rFonts w:ascii="仿宋" w:hAnsi="仿宋" w:eastAsia="仿宋" w:cs="宋体"/>
          <w:sz w:val="32"/>
          <w:szCs w:val="32"/>
        </w:rPr>
      </w:pPr>
      <w:r>
        <w:rPr>
          <w:rFonts w:hint="eastAsia" w:ascii="仿宋" w:hAnsi="仿宋" w:eastAsia="仿宋" w:cs="宋体"/>
          <w:sz w:val="32"/>
          <w:szCs w:val="32"/>
        </w:rPr>
        <w:t>咨询QQ群：</w:t>
      </w:r>
    </w:p>
    <w:p w14:paraId="7DACB949">
      <w:pPr>
        <w:rPr>
          <w:rFonts w:hint="eastAsia" w:asciiTheme="majorEastAsia" w:hAnsiTheme="majorEastAsia" w:eastAsiaTheme="majorEastAsia"/>
          <w:sz w:val="44"/>
          <w:szCs w:val="44"/>
          <w:lang w:eastAsia="zh-CN"/>
        </w:rPr>
      </w:pPr>
      <w:r>
        <w:rPr>
          <w:rFonts w:hint="eastAsia" w:asciiTheme="majorEastAsia" w:hAnsiTheme="majorEastAsia" w:eastAsiaTheme="majorEastAsia"/>
          <w:sz w:val="44"/>
          <w:szCs w:val="44"/>
          <w:lang w:eastAsia="zh-CN"/>
        </w:rPr>
        <w:drawing>
          <wp:inline distT="0" distB="0" distL="114300" distR="114300">
            <wp:extent cx="2152650" cy="2762250"/>
            <wp:effectExtent l="0" t="0" r="11430" b="11430"/>
            <wp:docPr id="1" name="图片 1" descr="2025级现代中药制药与健康微专业群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5级现代中药制药与健康微专业群二维码"/>
                    <pic:cNvPicPr>
                      <a:picLocks noChangeAspect="1"/>
                    </pic:cNvPicPr>
                  </pic:nvPicPr>
                  <pic:blipFill>
                    <a:blip r:embed="rId4"/>
                    <a:stretch>
                      <a:fillRect/>
                    </a:stretch>
                  </pic:blipFill>
                  <pic:spPr>
                    <a:xfrm>
                      <a:off x="0" y="0"/>
                      <a:ext cx="2152650" cy="2762250"/>
                    </a:xfrm>
                    <a:prstGeom prst="rect">
                      <a:avLst/>
                    </a:prstGeom>
                  </pic:spPr>
                </pic:pic>
              </a:graphicData>
            </a:graphic>
          </wp:inline>
        </w:drawing>
      </w:r>
    </w:p>
    <w:p w14:paraId="625AD792">
      <w:pPr>
        <w:jc w:val="center"/>
        <w:rPr>
          <w:rFonts w:asciiTheme="majorEastAsia" w:hAnsiTheme="majorEastAsia" w:eastAsiaTheme="majorEastAsia"/>
          <w:sz w:val="44"/>
          <w:szCs w:val="44"/>
        </w:rPr>
      </w:pPr>
    </w:p>
    <w:p w14:paraId="15DB5244">
      <w:pPr>
        <w:rPr>
          <w:rFonts w:asciiTheme="majorEastAsia" w:hAnsiTheme="majorEastAsia" w:eastAsiaTheme="majorEastAsia"/>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0" w:usb3="00000000" w:csb0="0002009F"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MxMmIzZjcyMmVmZGY4MjBlNzQ5ZjY1MTQwYmM4YTYifQ=="/>
  </w:docVars>
  <w:rsids>
    <w:rsidRoot w:val="002E166A"/>
    <w:rsid w:val="00054C39"/>
    <w:rsid w:val="001977FA"/>
    <w:rsid w:val="001B3A06"/>
    <w:rsid w:val="001F3BA7"/>
    <w:rsid w:val="0022322B"/>
    <w:rsid w:val="002A3698"/>
    <w:rsid w:val="002C208B"/>
    <w:rsid w:val="002C5A0C"/>
    <w:rsid w:val="002E166A"/>
    <w:rsid w:val="002F6F03"/>
    <w:rsid w:val="0033770B"/>
    <w:rsid w:val="00403CA6"/>
    <w:rsid w:val="00422F76"/>
    <w:rsid w:val="0043661D"/>
    <w:rsid w:val="00492061"/>
    <w:rsid w:val="004C56ED"/>
    <w:rsid w:val="00724521"/>
    <w:rsid w:val="008064B8"/>
    <w:rsid w:val="00882E76"/>
    <w:rsid w:val="00883FE3"/>
    <w:rsid w:val="00892944"/>
    <w:rsid w:val="008B23D8"/>
    <w:rsid w:val="008C200F"/>
    <w:rsid w:val="008C6C3B"/>
    <w:rsid w:val="008E5F80"/>
    <w:rsid w:val="00973167"/>
    <w:rsid w:val="00BA6FD7"/>
    <w:rsid w:val="00D52E8D"/>
    <w:rsid w:val="00E70810"/>
    <w:rsid w:val="00EA46F0"/>
    <w:rsid w:val="00F25A37"/>
    <w:rsid w:val="00FB1DDA"/>
    <w:rsid w:val="05D66D22"/>
    <w:rsid w:val="0AA53F8F"/>
    <w:rsid w:val="0E5E4367"/>
    <w:rsid w:val="13310AB0"/>
    <w:rsid w:val="13863C4B"/>
    <w:rsid w:val="15A1120E"/>
    <w:rsid w:val="190C6DE0"/>
    <w:rsid w:val="1E3B0527"/>
    <w:rsid w:val="1F83778A"/>
    <w:rsid w:val="2838558B"/>
    <w:rsid w:val="2A5F7045"/>
    <w:rsid w:val="2B0F60DF"/>
    <w:rsid w:val="2B461A27"/>
    <w:rsid w:val="2C6426F1"/>
    <w:rsid w:val="3E6143A1"/>
    <w:rsid w:val="3ECB4852"/>
    <w:rsid w:val="430146ED"/>
    <w:rsid w:val="49E07403"/>
    <w:rsid w:val="4FFA308A"/>
    <w:rsid w:val="5187666F"/>
    <w:rsid w:val="577E46FF"/>
    <w:rsid w:val="58B54151"/>
    <w:rsid w:val="5B953DC6"/>
    <w:rsid w:val="5CDA4609"/>
    <w:rsid w:val="5DE67872"/>
    <w:rsid w:val="5EAC54C8"/>
    <w:rsid w:val="62F602BC"/>
    <w:rsid w:val="68A20250"/>
    <w:rsid w:val="69C72D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keepNext/>
      <w:keepLines/>
      <w:spacing w:before="260" w:after="260" w:line="413" w:lineRule="auto"/>
      <w:outlineLvl w:val="2"/>
    </w:pPr>
    <w:rPr>
      <w:b/>
      <w:sz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rFonts w:cs="Times New Roman"/>
      <w:kern w:val="0"/>
      <w:sz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semiHidden/>
    <w:unhideWhenUsed/>
    <w:qFormat/>
    <w:uiPriority w:val="99"/>
    <w:rPr>
      <w:color w:val="0000FF"/>
      <w:u w:val="single"/>
    </w:rPr>
  </w:style>
  <w:style w:type="paragraph" w:styleId="11">
    <w:name w:val="List Paragraph"/>
    <w:basedOn w:val="1"/>
    <w:qFormat/>
    <w:uiPriority w:val="34"/>
    <w:pPr>
      <w:ind w:firstLine="420" w:firstLineChars="200"/>
    </w:pPr>
  </w:style>
  <w:style w:type="character" w:customStyle="1" w:styleId="12">
    <w:name w:val="页眉 字符"/>
    <w:basedOn w:val="8"/>
    <w:link w:val="4"/>
    <w:qFormat/>
    <w:uiPriority w:val="99"/>
    <w:rPr>
      <w:sz w:val="18"/>
      <w:szCs w:val="18"/>
    </w:rPr>
  </w:style>
  <w:style w:type="character" w:customStyle="1" w:styleId="13">
    <w:name w:val="页脚 字符"/>
    <w:basedOn w:val="8"/>
    <w:link w:val="3"/>
    <w:qFormat/>
    <w:uiPriority w:val="99"/>
    <w:rPr>
      <w:sz w:val="18"/>
      <w:szCs w:val="18"/>
    </w:rPr>
  </w:style>
  <w:style w:type="table" w:customStyle="1" w:styleId="1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WRGHO.COM</Company>
  <Pages>5</Pages>
  <Words>2148</Words>
  <Characters>2192</Characters>
  <Lines>18</Lines>
  <Paragraphs>5</Paragraphs>
  <TotalTime>6</TotalTime>
  <ScaleCrop>false</ScaleCrop>
  <LinksUpToDate>false</LinksUpToDate>
  <CharactersWithSpaces>2198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2024-09-25T10:09:00Z</dcterms:created>
  <dc:creator>h g</dc:creator>
  <cp:lastModifiedBy>是路不是露</cp:lastModifiedBy>
  <dcterms:modified xsi:type="dcterms:W3CDTF">2025-09-24T01:05:58Z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BFE27FB9B6D24B699D75330927DBAF6A_13</vt:lpwstr>
  </property>
  <property fmtid="{D5CDD505-2E9C-101B-9397-08002B2CF9AE}" pid="4" name="KSOTemplateDocerSaveRecord">
    <vt:lpwstr>eyJoZGlkIjoiZjMxMmIzZjcyMmVmZGY4MjBlNzQ5ZjY1MTQwYmM4YTYiLCJ1c2VySWQiOiI1MjEzMTA5OTcifQ==</vt:lpwstr>
  </property>
</Properties>
</file>